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FD2" w:rsidRPr="00C227AD" w:rsidRDefault="00CA6FD2" w:rsidP="00CA6FD2">
      <w:pPr>
        <w:spacing w:before="0" w:after="0" w:line="240" w:lineRule="auto"/>
        <w:jc w:val="both"/>
        <w:rPr>
          <w:rFonts w:asciiTheme="minorHAnsi" w:eastAsiaTheme="minorHAnsi" w:hAnsiTheme="minorHAnsi" w:cstheme="minorBidi"/>
          <w:b/>
          <w:sz w:val="21"/>
          <w:szCs w:val="21"/>
          <w:u w:val="single"/>
        </w:rPr>
      </w:pPr>
      <w:r w:rsidRPr="00C227AD">
        <w:rPr>
          <w:rFonts w:asciiTheme="minorHAnsi" w:eastAsiaTheme="minorHAnsi" w:hAnsiTheme="minorHAnsi" w:cstheme="minorBidi"/>
          <w:b/>
          <w:sz w:val="21"/>
          <w:szCs w:val="21"/>
          <w:u w:val="single"/>
        </w:rPr>
        <w:t>ARRETE DU MINISTRE DE L’EMPLOI, DE LA FORMATION PROFESSIONNELLE, DU DEVELOPPEMENT SOCIAL ET DE LA SOLIDARITE N°73-02 DU 16 JANVIER 2002, RELATIF A L’ACCREDITATION DES EFPP.</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b/>
          <w:sz w:val="21"/>
          <w:szCs w:val="21"/>
        </w:rPr>
      </w:pPr>
    </w:p>
    <w:p w:rsidR="00CA6FD2" w:rsidRPr="00C227AD" w:rsidRDefault="00CA6FD2" w:rsidP="00CA6FD2">
      <w:pPr>
        <w:spacing w:before="0" w:after="0" w:line="240" w:lineRule="auto"/>
        <w:jc w:val="both"/>
        <w:rPr>
          <w:rFonts w:asciiTheme="minorHAnsi" w:eastAsiaTheme="minorHAnsi" w:hAnsiTheme="minorHAnsi" w:cstheme="minorBidi"/>
          <w:b/>
          <w:sz w:val="21"/>
          <w:szCs w:val="21"/>
          <w:u w:val="single"/>
        </w:rPr>
      </w:pPr>
      <w:r w:rsidRPr="00C227AD">
        <w:rPr>
          <w:rFonts w:asciiTheme="minorHAnsi" w:eastAsiaTheme="minorHAnsi" w:hAnsiTheme="minorHAnsi" w:cstheme="minorBidi"/>
          <w:b/>
          <w:sz w:val="21"/>
          <w:szCs w:val="21"/>
          <w:u w:val="single"/>
        </w:rPr>
        <w:t>EXTRAITS :</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b/>
          <w:sz w:val="21"/>
          <w:szCs w:val="21"/>
        </w:rPr>
      </w:pPr>
      <w:r w:rsidRPr="00C227AD">
        <w:rPr>
          <w:rFonts w:asciiTheme="minorHAnsi" w:eastAsiaTheme="minorHAnsi" w:hAnsiTheme="minorHAnsi" w:cs="ArialNarrow"/>
          <w:b/>
          <w:sz w:val="21"/>
          <w:szCs w:val="21"/>
        </w:rPr>
        <w:t>« …</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Chapitre premier : Dispositions générales</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1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présent arrêté définit la procédure et les conditions d’accréditation des établissements de formation professionnelle privées, prévues à l’article 14 de la loi n° 13-00 portant statut de la formation professionnelle privée, ainsi que les conditions d’organisation des examens et de visa des diplômes et certificats délivrés par les établissements de formation professionnelle privée.</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2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Conformément aux dispositions de l’article 14 de la loi n° 13-00 précitée, tout établissement de formation professionnelle privée peut présenter sa demande d’accréditation s’il :</w:t>
      </w:r>
    </w:p>
    <w:p w:rsidR="00CA6FD2" w:rsidRPr="00C227AD" w:rsidRDefault="00CA6FD2" w:rsidP="00CA6FD2">
      <w:pPr>
        <w:numPr>
          <w:ilvl w:val="0"/>
          <w:numId w:val="10"/>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est dans une situation régulière ou égard aux obligations réglementaires et administratives découlant de la loi n°13-00 précitée ;</w:t>
      </w:r>
    </w:p>
    <w:p w:rsidR="00CA6FD2" w:rsidRPr="00C227AD" w:rsidRDefault="00CA6FD2" w:rsidP="00CA6FD2">
      <w:pPr>
        <w:numPr>
          <w:ilvl w:val="0"/>
          <w:numId w:val="10"/>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a obtenu la qualification de l’ensemble des filières de formation dispensées effectivement depuis trois ans au moins.</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i/>
          <w:sz w:val="21"/>
          <w:szCs w:val="21"/>
        </w:rPr>
      </w:pP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Chapitre II : De l’accréditation</w:t>
      </w:r>
    </w:p>
    <w:p w:rsidR="00CA6FD2" w:rsidRPr="00C227AD"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Section première : Dépôt du dossier de demande d’accréditation</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3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dossier de demande d’accréditation, composé des documents et pièces énumérés à l’article 4 ci-dessous, est déposé en deux exemplaires, contre récépissé, auprès du service extérieur du département de la formation professionnelle dans le ressort territorial duquel se trouve l’établissement.</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dossier de demande d’accréditation doit être déposé avant la fin du mois de décembre.</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4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dossier de demande d’accréditation comprend :</w:t>
      </w:r>
    </w:p>
    <w:p w:rsidR="00CA6FD2" w:rsidRPr="00C227AD"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une demande du directeur de l’établissement de formation professionnelle privée concerné ;</w:t>
      </w:r>
    </w:p>
    <w:p w:rsidR="00CA6FD2" w:rsidRPr="00C227AD"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un dossier docimologique comprenant :</w:t>
      </w:r>
    </w:p>
    <w:p w:rsidR="00CA6FD2" w:rsidRPr="00C227AD" w:rsidRDefault="00CA6FD2" w:rsidP="00CA6FD2">
      <w:pPr>
        <w:numPr>
          <w:ilvl w:val="0"/>
          <w:numId w:val="12"/>
        </w:numPr>
        <w:autoSpaceDE w:val="0"/>
        <w:autoSpaceDN w:val="0"/>
        <w:adjustRightInd w:val="0"/>
        <w:spacing w:before="0" w:after="0" w:line="240" w:lineRule="auto"/>
        <w:ind w:left="993" w:hanging="284"/>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descriptif du dispositif d’évaluation établi pour chaque filière de formation, qui doit préciser :</w:t>
      </w:r>
    </w:p>
    <w:p w:rsidR="00CA6FD2" w:rsidRPr="00C227AD" w:rsidRDefault="00CA6FD2" w:rsidP="00CA6FD2">
      <w:pPr>
        <w:numPr>
          <w:ilvl w:val="0"/>
          <w:numId w:val="11"/>
        </w:numPr>
        <w:autoSpaceDE w:val="0"/>
        <w:autoSpaceDN w:val="0"/>
        <w:adjustRightInd w:val="0"/>
        <w:spacing w:before="0" w:after="0" w:line="240" w:lineRule="auto"/>
        <w:ind w:left="1276"/>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les modalités des évaluations intermédiaires et finales ;</w:t>
      </w:r>
    </w:p>
    <w:p w:rsidR="00CA6FD2" w:rsidRPr="00C227AD" w:rsidRDefault="00CA6FD2" w:rsidP="00CA6FD2">
      <w:pPr>
        <w:numPr>
          <w:ilvl w:val="0"/>
          <w:numId w:val="11"/>
        </w:numPr>
        <w:autoSpaceDE w:val="0"/>
        <w:autoSpaceDN w:val="0"/>
        <w:adjustRightInd w:val="0"/>
        <w:spacing w:before="0" w:after="0" w:line="240" w:lineRule="auto"/>
        <w:ind w:left="1276"/>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l’organisation et la supervision des évaluations ;</w:t>
      </w:r>
    </w:p>
    <w:p w:rsidR="00CA6FD2" w:rsidRPr="00C227AD" w:rsidRDefault="00CA6FD2" w:rsidP="00CA6FD2">
      <w:pPr>
        <w:numPr>
          <w:ilvl w:val="0"/>
          <w:numId w:val="12"/>
        </w:numPr>
        <w:autoSpaceDE w:val="0"/>
        <w:autoSpaceDN w:val="0"/>
        <w:adjustRightInd w:val="0"/>
        <w:spacing w:before="0" w:after="0" w:line="240" w:lineRule="auto"/>
        <w:ind w:left="993" w:hanging="284"/>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la liste et les curriculums vitae du président et des membres proposés pour la constitution du jury d’examen pour chaque groupe de filières relevant du même secteur de formation.</w:t>
      </w:r>
    </w:p>
    <w:p w:rsidR="00CA6FD2" w:rsidRPr="00C227AD" w:rsidRDefault="00CA6FD2" w:rsidP="00CA6FD2">
      <w:pPr>
        <w:numPr>
          <w:ilvl w:val="0"/>
          <w:numId w:val="12"/>
        </w:numPr>
        <w:autoSpaceDE w:val="0"/>
        <w:autoSpaceDN w:val="0"/>
        <w:adjustRightInd w:val="0"/>
        <w:spacing w:before="0" w:after="0" w:line="240" w:lineRule="auto"/>
        <w:ind w:left="993" w:hanging="284"/>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modèle du livret individuel de formation, qui décrit le cheminement pédagogique de chaque stagiaire et le délai des évaluations effectuées.</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5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L’instruction des dossiers de demande d’accréditation s’effectue comme suit :</w:t>
      </w:r>
    </w:p>
    <w:p w:rsidR="00CA6FD2" w:rsidRPr="00C227AD" w:rsidRDefault="00CA6FD2" w:rsidP="00CA6FD2">
      <w:pPr>
        <w:numPr>
          <w:ilvl w:val="0"/>
          <w:numId w:val="14"/>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la réception des pièces constituant le dossier de demande d’accréditation, la vérification des conditions d’éligibilité prévues à l’article 14 de la loi n° 13-00 précitée et la délivrance du récépissé de dépôt du dit dossier, en cas de conformité constatée par le service extérieur du département de la formation professionnelle concerné ;</w:t>
      </w:r>
    </w:p>
    <w:p w:rsidR="00CA6FD2" w:rsidRPr="00C227AD" w:rsidRDefault="00CA6FD2" w:rsidP="00CA6FD2">
      <w:pPr>
        <w:numPr>
          <w:ilvl w:val="0"/>
          <w:numId w:val="14"/>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l’élaboration, par l’autorité gouvernementale chargée de la formation professionnelle, d’un rapport d’analyse par dossier qui sera soumis, pour avis, à la commission nationale sectorielle de la formation professionnelle privée concernée, conformément à l’article 15 de la loi n°13-00 précitée ;</w:t>
      </w:r>
    </w:p>
    <w:p w:rsidR="00CA6FD2" w:rsidRPr="00C227AD" w:rsidRDefault="00CA6FD2" w:rsidP="00CA6FD2">
      <w:pPr>
        <w:numPr>
          <w:ilvl w:val="0"/>
          <w:numId w:val="14"/>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l’établissement de la liste des établissements de formation professionnelle privée à accréditer par ladite commission.</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i/>
          <w:sz w:val="21"/>
          <w:szCs w:val="21"/>
        </w:rPr>
      </w:pPr>
    </w:p>
    <w:p w:rsidR="006E4AC0" w:rsidRDefault="006E4AC0" w:rsidP="00CA6FD2">
      <w:pPr>
        <w:autoSpaceDE w:val="0"/>
        <w:autoSpaceDN w:val="0"/>
        <w:adjustRightInd w:val="0"/>
        <w:spacing w:before="0" w:after="0" w:line="240" w:lineRule="auto"/>
        <w:ind w:left="142"/>
        <w:jc w:val="both"/>
        <w:rPr>
          <w:rFonts w:asciiTheme="minorHAnsi" w:eastAsiaTheme="minorHAnsi" w:hAnsiTheme="minorHAnsi" w:cs="ArialNarrow"/>
          <w:b/>
          <w:i/>
          <w:sz w:val="21"/>
          <w:szCs w:val="21"/>
        </w:rPr>
      </w:pPr>
      <w:r>
        <w:rPr>
          <w:rFonts w:asciiTheme="minorHAnsi" w:eastAsiaTheme="minorHAnsi" w:hAnsiTheme="minorHAnsi" w:cs="ArialNarrow"/>
          <w:b/>
          <w:i/>
          <w:sz w:val="21"/>
          <w:szCs w:val="21"/>
        </w:rPr>
        <w:br/>
      </w:r>
    </w:p>
    <w:p w:rsidR="006E4AC0" w:rsidRDefault="006E4AC0">
      <w:pPr>
        <w:spacing w:after="0" w:line="240" w:lineRule="auto"/>
        <w:rPr>
          <w:rFonts w:asciiTheme="minorHAnsi" w:eastAsiaTheme="minorHAnsi" w:hAnsiTheme="minorHAnsi" w:cs="ArialNarrow"/>
          <w:b/>
          <w:i/>
          <w:sz w:val="21"/>
          <w:szCs w:val="21"/>
        </w:rPr>
      </w:pPr>
      <w:r>
        <w:rPr>
          <w:rFonts w:asciiTheme="minorHAnsi" w:eastAsiaTheme="minorHAnsi" w:hAnsiTheme="minorHAnsi" w:cs="ArialNarrow"/>
          <w:b/>
          <w:i/>
          <w:sz w:val="21"/>
          <w:szCs w:val="21"/>
        </w:rPr>
        <w:br w:type="page"/>
      </w:r>
    </w:p>
    <w:p w:rsidR="00CA6FD2" w:rsidRPr="00C227AD"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Section II : Octroi et retrait de l’accréditation</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6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L’accréditation est accordée par décision de l’autorité gouvernementale chargée de la formation professionnelle après avis de la commission nationale sectorielle de la formation professionnelle privée concernée.</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Cette décision, établie au nom de l’établissement de formation privée concerné, doit mentionner les filières et la durée de validité de l’accréditation et doit être notifiée à l’établissement concernée.</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Il appartient à l’établissement accrédité, durant la dernière année de validité de l’accréditation, de procéder au renouvellement de ladite accréditation suivant les règles et procédures décrites dans le présent arrêté.</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7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L’autorité gouvernementale chargée de la formation professionnelle organise, périodiquement, des audits au sein des établissements de formation professionnelle privée pour s’assurer que les engagements sur la base desquels l’accréditation a été octroyée sont respectés.</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8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retrait de l’accréditation s’effectue dans les mêmes formes prévues à l’article 6 ci-dessus.</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i/>
          <w:sz w:val="21"/>
          <w:szCs w:val="21"/>
        </w:rPr>
      </w:pP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 xml:space="preserve">Chapitre III : De l’évaluation des stagiaires, du jury, d’examen et de la délivrance et du </w:t>
      </w:r>
      <w:r w:rsidRPr="00C227AD">
        <w:rPr>
          <w:rFonts w:asciiTheme="minorHAnsi" w:eastAsiaTheme="minorHAnsi" w:hAnsiTheme="minorHAnsi" w:cs="ArialNarrow"/>
          <w:b/>
          <w:i/>
          <w:sz w:val="21"/>
          <w:szCs w:val="21"/>
        </w:rPr>
        <w:tab/>
      </w:r>
      <w:r w:rsidRPr="00C227AD">
        <w:rPr>
          <w:rFonts w:asciiTheme="minorHAnsi" w:eastAsiaTheme="minorHAnsi" w:hAnsiTheme="minorHAnsi" w:cs="ArialNarrow"/>
          <w:b/>
          <w:i/>
          <w:sz w:val="21"/>
          <w:szCs w:val="21"/>
        </w:rPr>
        <w:tab/>
        <w:t>visa des diplômes et des certificats</w:t>
      </w:r>
    </w:p>
    <w:p w:rsidR="00CA6FD2" w:rsidRPr="00C227AD"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Section première : Evaluation des stagiaires</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9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L’évaluation des stagiaires est basée sur des contrôles continus et un examen de fin de cursus de formation.</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Les notes des contrôles continus sont attribuées par les formateurs de l’établissement et les notes des épreuves de l’examen de fin de cursus de formation sont attribuées par le jury d’examen.</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Les notes définitives sont consignées dans le livret individuel de formation et soumis au jury d’examen pour validation et signature.</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10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Les contrôles continus sont assurés tout au long de la formation des stagiaires par des formateurs à travers des évaluations périodiques. Les sujets des contrôles continus sont répertoriés et présentés au jury d’examen.</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Les contrôles continus comptent pour 30% de la note finale de l’examen de fin de cursus de formation.</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11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L’examen de fin de cursus de formation, qui se déroule sous la supervision du jury d’examen, est composé de trois épreuves :</w:t>
      </w:r>
    </w:p>
    <w:p w:rsidR="00CA6FD2" w:rsidRPr="00C227AD" w:rsidRDefault="00CA6FD2" w:rsidP="00CA6FD2">
      <w:pPr>
        <w:numPr>
          <w:ilvl w:val="0"/>
          <w:numId w:val="15"/>
        </w:numPr>
        <w:autoSpaceDE w:val="0"/>
        <w:autoSpaceDN w:val="0"/>
        <w:adjustRightInd w:val="0"/>
        <w:spacing w:before="0" w:after="0" w:line="240" w:lineRule="auto"/>
        <w:ind w:left="99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Une épreuve théorique ;</w:t>
      </w:r>
    </w:p>
    <w:p w:rsidR="00CA6FD2" w:rsidRPr="00C227AD" w:rsidRDefault="00CA6FD2" w:rsidP="00CA6FD2">
      <w:pPr>
        <w:numPr>
          <w:ilvl w:val="0"/>
          <w:numId w:val="15"/>
        </w:numPr>
        <w:autoSpaceDE w:val="0"/>
        <w:autoSpaceDN w:val="0"/>
        <w:adjustRightInd w:val="0"/>
        <w:spacing w:before="0" w:after="0" w:line="240" w:lineRule="auto"/>
        <w:ind w:left="99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Une épreuve pratique ;</w:t>
      </w:r>
    </w:p>
    <w:p w:rsidR="00CA6FD2" w:rsidRPr="00C227AD" w:rsidRDefault="00CA6FD2" w:rsidP="00CA6FD2">
      <w:pPr>
        <w:numPr>
          <w:ilvl w:val="0"/>
          <w:numId w:val="15"/>
        </w:numPr>
        <w:autoSpaceDE w:val="0"/>
        <w:autoSpaceDN w:val="0"/>
        <w:adjustRightInd w:val="0"/>
        <w:spacing w:before="0" w:after="0" w:line="240" w:lineRule="auto"/>
        <w:ind w:left="99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Une soutenance des résultats des travaux individuels.</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a- L’épreuve théorique valide les savoirs théoriques des stagiaires et compte pour 20% de la note finale de l’examen de fin de cursus de formation.</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b- L’épreuve pratique valide les savoirs- faire des stagiaires et compte pour 30% de la note finale de l’examen de fin de cursus de formation.</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c- La soutenance des résultats des travaux individuels valide les compétences professionnelles soit au cours d’un stage en entreprise, soit par une production personnelle du stagiaire. Elle compte pour 20% de la note finale de l’examen de fin de cursus de formation.</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i/>
          <w:sz w:val="21"/>
          <w:szCs w:val="21"/>
        </w:rPr>
      </w:pPr>
    </w:p>
    <w:p w:rsidR="00CA6FD2" w:rsidRPr="00C227AD" w:rsidRDefault="00CA6FD2">
      <w:pPr>
        <w:spacing w:after="0" w:line="240" w:lineRule="auto"/>
        <w:rPr>
          <w:rFonts w:asciiTheme="minorHAnsi" w:eastAsiaTheme="minorHAnsi" w:hAnsiTheme="minorHAnsi" w:cs="ArialNarrow"/>
          <w:b/>
          <w:i/>
          <w:sz w:val="21"/>
          <w:szCs w:val="21"/>
          <w:lang w:val="en-US"/>
        </w:rPr>
      </w:pPr>
      <w:r w:rsidRPr="00C227AD">
        <w:rPr>
          <w:rFonts w:asciiTheme="minorHAnsi" w:eastAsiaTheme="minorHAnsi" w:hAnsiTheme="minorHAnsi" w:cs="ArialNarrow"/>
          <w:b/>
          <w:i/>
          <w:sz w:val="21"/>
          <w:szCs w:val="21"/>
          <w:lang w:val="en-US"/>
        </w:rPr>
        <w:br w:type="page"/>
      </w:r>
    </w:p>
    <w:p w:rsidR="00CA6FD2" w:rsidRPr="00C227AD"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sz w:val="21"/>
          <w:szCs w:val="21"/>
          <w:lang w:val="en-US"/>
        </w:rPr>
      </w:pPr>
      <w:r w:rsidRPr="00C227AD">
        <w:rPr>
          <w:rFonts w:asciiTheme="minorHAnsi" w:eastAsiaTheme="minorHAnsi" w:hAnsiTheme="minorHAnsi" w:cs="ArialNarrow"/>
          <w:b/>
          <w:i/>
          <w:sz w:val="21"/>
          <w:szCs w:val="21"/>
          <w:lang w:val="en-US"/>
        </w:rPr>
        <w:t xml:space="preserve">Section </w:t>
      </w:r>
      <w:proofErr w:type="gramStart"/>
      <w:r w:rsidRPr="00C227AD">
        <w:rPr>
          <w:rFonts w:asciiTheme="minorHAnsi" w:eastAsiaTheme="minorHAnsi" w:hAnsiTheme="minorHAnsi" w:cs="ArialNarrow"/>
          <w:b/>
          <w:i/>
          <w:sz w:val="21"/>
          <w:szCs w:val="21"/>
          <w:lang w:val="en-US"/>
        </w:rPr>
        <w:t>II :</w:t>
      </w:r>
      <w:proofErr w:type="gramEnd"/>
      <w:r w:rsidRPr="00C227AD">
        <w:rPr>
          <w:rFonts w:asciiTheme="minorHAnsi" w:eastAsiaTheme="minorHAnsi" w:hAnsiTheme="minorHAnsi" w:cs="ArialNarrow"/>
          <w:b/>
          <w:i/>
          <w:sz w:val="21"/>
          <w:szCs w:val="21"/>
          <w:lang w:val="en-US"/>
        </w:rPr>
        <w:t xml:space="preserve"> Jury </w:t>
      </w:r>
      <w:proofErr w:type="spellStart"/>
      <w:r w:rsidRPr="00C227AD">
        <w:rPr>
          <w:rFonts w:asciiTheme="minorHAnsi" w:eastAsiaTheme="minorHAnsi" w:hAnsiTheme="minorHAnsi" w:cs="ArialNarrow"/>
          <w:b/>
          <w:i/>
          <w:sz w:val="21"/>
          <w:szCs w:val="21"/>
          <w:lang w:val="en-US"/>
        </w:rPr>
        <w:t>d’examens</w:t>
      </w:r>
      <w:proofErr w:type="spellEnd"/>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lang w:val="en-US"/>
        </w:rPr>
      </w:pPr>
      <w:r w:rsidRPr="00C227AD">
        <w:rPr>
          <w:rFonts w:asciiTheme="minorHAnsi" w:eastAsiaTheme="minorHAnsi" w:hAnsiTheme="minorHAnsi" w:cs="ArialNarrow"/>
          <w:b/>
          <w:i/>
          <w:sz w:val="21"/>
          <w:szCs w:val="21"/>
          <w:lang w:val="en-US"/>
        </w:rPr>
        <w:t xml:space="preserve">Art. </w:t>
      </w:r>
      <w:proofErr w:type="gramStart"/>
      <w:r w:rsidRPr="00C227AD">
        <w:rPr>
          <w:rFonts w:asciiTheme="minorHAnsi" w:eastAsiaTheme="minorHAnsi" w:hAnsiTheme="minorHAnsi" w:cs="ArialNarrow"/>
          <w:b/>
          <w:i/>
          <w:sz w:val="21"/>
          <w:szCs w:val="21"/>
          <w:lang w:val="en-US"/>
        </w:rPr>
        <w:t>12 :</w:t>
      </w:r>
      <w:proofErr w:type="gramEnd"/>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jury d’examen, désigné par décision de l’autorité gouvernementale chargé de la formation professionnelle sur proposition du directeur de l’établissement concerné, est composé d’au moins quatre personnes, dont la moitié est constituée de professionnels externes à l’établissement. L’autre moitié est constituée de formateurs. Le représentant de l’autorité gouvernementale chargée de la formation professionnelle, ou la personne désignée par elle à cet effet, siège, en qualité de membre de droit, au jury d’examen.</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président du jury d’examen est choisi parmi les membres professionnels externes à l’établissement et au vu de ses compétences acquises dans le métier visé par la formation.</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13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jury d’examen se réunit sur convocation de son président, au moins 3 fois durant le cursus de formation et chaque fois que nécessaire pour :</w:t>
      </w:r>
    </w:p>
    <w:p w:rsidR="00CA6FD2" w:rsidRPr="00C227AD"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arrêter le planning de déroulement des examens, le barème de notation et les coefficients attribués à chaque discipline ;</w:t>
      </w:r>
    </w:p>
    <w:p w:rsidR="00CA6FD2" w:rsidRPr="00C227AD"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arrêter le liste définitive des stagiaires concernés ;</w:t>
      </w:r>
    </w:p>
    <w:p w:rsidR="00CA6FD2" w:rsidRPr="00C227AD"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choisir les épreuves d’examen ;</w:t>
      </w:r>
    </w:p>
    <w:p w:rsidR="00CA6FD2" w:rsidRPr="00C227AD"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Approuver et valiser les notes obtenues par les stagiaires et établir un procès verbal en :</w:t>
      </w:r>
    </w:p>
    <w:p w:rsidR="00CA6FD2" w:rsidRPr="00C227AD" w:rsidRDefault="00CA6FD2" w:rsidP="00CA6FD2">
      <w:pPr>
        <w:numPr>
          <w:ilvl w:val="0"/>
          <w:numId w:val="11"/>
        </w:numPr>
        <w:autoSpaceDE w:val="0"/>
        <w:autoSpaceDN w:val="0"/>
        <w:adjustRightInd w:val="0"/>
        <w:spacing w:before="0" w:after="0" w:line="240" w:lineRule="auto"/>
        <w:ind w:left="99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Commentant les résultats obtenus par les stagiaires aux différentes évaluations et le cas échéant, les incidents survenus lors des évaluations ainsi que les décisions prises pour y remédier ;</w:t>
      </w:r>
    </w:p>
    <w:p w:rsidR="00CA6FD2" w:rsidRPr="00C227AD" w:rsidRDefault="00CA6FD2" w:rsidP="00CA6FD2">
      <w:pPr>
        <w:numPr>
          <w:ilvl w:val="0"/>
          <w:numId w:val="11"/>
        </w:numPr>
        <w:autoSpaceDE w:val="0"/>
        <w:autoSpaceDN w:val="0"/>
        <w:adjustRightInd w:val="0"/>
        <w:spacing w:before="0" w:after="0" w:line="240" w:lineRule="auto"/>
        <w:ind w:left="99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Motivant l’attribution des notes ;</w:t>
      </w:r>
    </w:p>
    <w:p w:rsidR="00CA6FD2" w:rsidRPr="00C227AD" w:rsidRDefault="00CA6FD2" w:rsidP="00CA6FD2">
      <w:pPr>
        <w:numPr>
          <w:ilvl w:val="0"/>
          <w:numId w:val="11"/>
        </w:numPr>
        <w:autoSpaceDE w:val="0"/>
        <w:autoSpaceDN w:val="0"/>
        <w:adjustRightInd w:val="0"/>
        <w:spacing w:before="0" w:after="0" w:line="240" w:lineRule="auto"/>
        <w:ind w:left="993"/>
        <w:contextualSpacing/>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Classant les stagiaires par ordre de mérite.</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dit procès-verbal, signé par les membres de jury d’examen, est établi en trois exemplaires originaux, dans l’un est adressé sous plis confidentiel, au service extérieur concerné du département de la formation professionnelle.</w:t>
      </w: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p>
    <w:p w:rsidR="00CA6FD2" w:rsidRPr="00C227AD"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sz w:val="21"/>
          <w:szCs w:val="21"/>
        </w:rPr>
      </w:pPr>
      <w:r w:rsidRPr="00C227AD">
        <w:rPr>
          <w:rFonts w:asciiTheme="minorHAnsi" w:eastAsiaTheme="minorHAnsi" w:hAnsiTheme="minorHAnsi" w:cs="ArialNarrow"/>
          <w:b/>
          <w:i/>
          <w:sz w:val="21"/>
          <w:szCs w:val="21"/>
        </w:rPr>
        <w:t>Art. 14 :</w:t>
      </w:r>
    </w:p>
    <w:p w:rsidR="00CA6FD2" w:rsidRPr="00C227AD"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Le jury d’examen est tenu de proclamer les résultats obtenus après avoir effectué les vérifications nécessaires, dans un délai ne dépassant pas une semaine, à compter de la date de signature de procès verbal visé à l’article ci-dessus.</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i/>
          <w:sz w:val="21"/>
          <w:szCs w:val="21"/>
        </w:rPr>
      </w:pPr>
      <w:r w:rsidRPr="00C227AD">
        <w:rPr>
          <w:rFonts w:asciiTheme="minorHAnsi" w:eastAsiaTheme="minorHAnsi" w:hAnsiTheme="minorHAnsi" w:cs="ArialNarrow"/>
          <w:i/>
          <w:sz w:val="21"/>
          <w:szCs w:val="21"/>
        </w:rPr>
        <w:t>… »</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sz w:val="21"/>
          <w:szCs w:val="21"/>
        </w:rPr>
      </w:pPr>
    </w:p>
    <w:p w:rsidR="00CA6FD2" w:rsidRPr="00C227AD" w:rsidRDefault="00CA6FD2" w:rsidP="00CA6FD2">
      <w:pPr>
        <w:spacing w:before="0"/>
        <w:rPr>
          <w:rFonts w:asciiTheme="minorHAnsi" w:eastAsiaTheme="minorHAnsi" w:hAnsiTheme="minorHAnsi" w:cstheme="minorBidi"/>
          <w:b/>
          <w:sz w:val="21"/>
          <w:szCs w:val="21"/>
          <w:u w:val="single"/>
        </w:rPr>
      </w:pPr>
      <w:r w:rsidRPr="00C227AD">
        <w:rPr>
          <w:rFonts w:asciiTheme="minorHAnsi" w:eastAsiaTheme="minorHAnsi" w:hAnsiTheme="minorHAnsi" w:cs="ArialNarrow"/>
          <w:sz w:val="21"/>
          <w:szCs w:val="21"/>
        </w:rPr>
        <w:br w:type="page"/>
      </w:r>
      <w:r w:rsidRPr="00C227AD">
        <w:rPr>
          <w:rFonts w:asciiTheme="minorHAnsi" w:eastAsiaTheme="minorHAnsi" w:hAnsiTheme="minorHAnsi" w:cstheme="minorBidi"/>
          <w:b/>
          <w:sz w:val="21"/>
          <w:szCs w:val="21"/>
          <w:u w:val="single"/>
        </w:rPr>
        <w:t>PROCEDURE D’ACCREDITATION DES EFPP : REGLEMENT DES EXAMENS</w:t>
      </w: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sz w:val="21"/>
          <w:szCs w:val="21"/>
        </w:rPr>
      </w:pP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sz w:val="21"/>
          <w:szCs w:val="21"/>
        </w:rPr>
        <w:sectPr w:rsidR="00CA6FD2" w:rsidRPr="00C227AD" w:rsidSect="00C227AD">
          <w:headerReference w:type="default" r:id="rId7"/>
          <w:footerReference w:type="even" r:id="rId8"/>
          <w:footerReference w:type="default" r:id="rId9"/>
          <w:headerReference w:type="first" r:id="rId10"/>
          <w:footerReference w:type="first" r:id="rId11"/>
          <w:pgSz w:w="11906" w:h="16838" w:code="9"/>
          <w:pgMar w:top="1418" w:right="1134" w:bottom="1418" w:left="1701" w:header="851" w:footer="516" w:gutter="0"/>
          <w:cols w:space="708"/>
          <w:titlePg/>
          <w:docGrid w:linePitch="360"/>
        </w:sect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Pour la mise en place de la procédure d’accréditation des établissements de formation professionnelle privée, le Secrétariat d’Etat Chargé de la Formation Professionnelle a défini un cadre législatif et réglementaire</w:t>
      </w:r>
      <w:r w:rsidRPr="00C227AD">
        <w:rPr>
          <w:rFonts w:asciiTheme="minorHAnsi" w:eastAsia="Times New Roman" w:hAnsiTheme="minorHAnsi" w:cs="Times New Roman"/>
          <w:i/>
          <w:sz w:val="21"/>
          <w:szCs w:val="21"/>
          <w:vertAlign w:val="superscript"/>
          <w:lang w:eastAsia="fr-FR"/>
        </w:rPr>
        <w:footnoteReference w:id="1"/>
      </w:r>
      <w:r w:rsidRPr="00C227AD">
        <w:rPr>
          <w:rFonts w:asciiTheme="minorHAnsi" w:eastAsia="Times New Roman" w:hAnsiTheme="minorHAnsi" w:cs="Times New Roman"/>
          <w:i/>
          <w:sz w:val="21"/>
          <w:szCs w:val="21"/>
          <w:lang w:eastAsia="fr-FR"/>
        </w:rPr>
        <w:t xml:space="preserve"> précisant les règles, les conditions et les obligations permettant aux EFPP d’accéder à l’accréditation les autorisant à organiser des examens et leur permettant ensuite de délivrer, à leurs lauréats, des « diplômes/certificats</w:t>
      </w:r>
      <w:r w:rsidRPr="00C227AD">
        <w:rPr>
          <w:rFonts w:asciiTheme="minorHAnsi" w:eastAsia="Times New Roman" w:hAnsiTheme="minorHAnsi" w:cs="Times New Roman"/>
          <w:b/>
          <w:bCs/>
          <w:i/>
          <w:sz w:val="21"/>
          <w:szCs w:val="21"/>
          <w:vertAlign w:val="superscript"/>
          <w:lang w:eastAsia="fr-FR"/>
        </w:rPr>
        <w:footnoteReference w:id="2"/>
      </w:r>
      <w:r w:rsidRPr="00C227AD">
        <w:rPr>
          <w:rFonts w:asciiTheme="minorHAnsi" w:eastAsia="Times New Roman" w:hAnsiTheme="minorHAnsi" w:cs="Times New Roman"/>
          <w:i/>
          <w:sz w:val="21"/>
          <w:szCs w:val="21"/>
          <w:lang w:eastAsia="fr-FR"/>
        </w:rPr>
        <w:t> » reconnus par l’Etat.</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Pour ce faire, le dispositif, ci-après, précise les conditions d’organisation des examens et les modalités de délivrance des diplômes visés par le Secrétariat d’Etat chargé de la formation professionnelle. Ce visa constitue la reconnaissance officielle et atteste la valeur nationale du diplôme/certificat obtenu.</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Cependant, le visa des diplômes/certificats exige, de l’ensemble des acteurs de l’établissement accrédité impliqués dans le processus de formation,</w:t>
      </w:r>
      <w:r w:rsidRPr="00C227AD">
        <w:rPr>
          <w:rFonts w:asciiTheme="minorHAnsi" w:eastAsia="Times New Roman" w:hAnsiTheme="minorHAnsi" w:cs="Times New Roman"/>
          <w:i/>
          <w:caps/>
          <w:sz w:val="21"/>
          <w:szCs w:val="21"/>
          <w:lang w:eastAsia="fr-FR"/>
        </w:rPr>
        <w:t xml:space="preserve"> </w:t>
      </w:r>
      <w:r w:rsidRPr="00C227AD">
        <w:rPr>
          <w:rFonts w:asciiTheme="minorHAnsi" w:eastAsia="Times New Roman" w:hAnsiTheme="minorHAnsi" w:cs="Times New Roman"/>
          <w:i/>
          <w:sz w:val="21"/>
          <w:szCs w:val="21"/>
          <w:lang w:eastAsia="fr-FR"/>
        </w:rPr>
        <w:t>le respect</w:t>
      </w:r>
      <w:r w:rsidRPr="00C227AD">
        <w:rPr>
          <w:rFonts w:asciiTheme="minorHAnsi" w:eastAsia="Times New Roman" w:hAnsiTheme="minorHAnsi" w:cs="Times New Roman"/>
          <w:i/>
          <w:caps/>
          <w:sz w:val="21"/>
          <w:szCs w:val="21"/>
          <w:lang w:eastAsia="fr-FR"/>
        </w:rPr>
        <w:t xml:space="preserve"> </w:t>
      </w:r>
      <w:r w:rsidRPr="00C227AD">
        <w:rPr>
          <w:rFonts w:asciiTheme="minorHAnsi" w:eastAsia="Times New Roman" w:hAnsiTheme="minorHAnsi" w:cs="Times New Roman"/>
          <w:i/>
          <w:sz w:val="21"/>
          <w:szCs w:val="21"/>
          <w:lang w:eastAsia="fr-FR"/>
        </w:rPr>
        <w:t>d’un ensemble de procédures et d’outils concernant la gestion et l’organisation des activités pédagogiques, d’une part, et la formalisation et le pilotage d’un système d’évaluation cohérent avec les textes réglementaires, d’autre part.</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Ce dernier point constitue la pièce maîtresse du processus de visa des diplômes.</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En conséquence, le Secrétariat d’Etat chargé de la formation professionnelle effectuera régulièrement des audits, dans les établissements accrédités, afin de s’assurer de la régularité du processus d’accréditation mis en œuvre, notamment la confidentialité des épreuves et la régularité des conditions de déroulement des contrôles et des examens.</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Ainsi, dans l’activité de formation de l’établissement quatre catégories d’acteurs sont identifiées relativement à leur fonction dans le processus pédagogique de réalisation des programmes de formation et de validation des apprentissages :</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La fonction « direction et management » : équipe de direction,</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La fonction « pilotage du système d’évaluation » : le jury d’examens,</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La fonction « formation » : équipes pédagogiques,</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La fonction « apprenant » : les stagiaires.</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Pour chacune de ces catégories d’acteurs, des outils de gestion et de suivi du système d’évaluation ont été conçus afin d’assurer au mieux son rôle.</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Ces outils, qui constituent le système d’évaluation, sont de deux types :</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Des outils de gestion administrative : le dossier d’administration du système d’évaluation à l’intention du jury d’examens, puis le cahier de suivi des activités pédagogiques (le cahier de textes) à l’intention de l’équipe de direction et des formateurs ;</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Des outils de suivi pédagogique : le classeur pédagogique du formateur et le livret individuel de formation du stagiaire.</w:t>
      </w:r>
    </w:p>
    <w:p w:rsidR="00CA6FD2" w:rsidRPr="00C227AD" w:rsidRDefault="00CA6FD2" w:rsidP="00CA6FD2">
      <w:pPr>
        <w:spacing w:before="0" w:after="0" w:line="240" w:lineRule="auto"/>
        <w:jc w:val="both"/>
        <w:rPr>
          <w:rFonts w:asciiTheme="minorHAnsi" w:eastAsia="Times New Roman" w:hAnsiTheme="minorHAnsi" w:cs="Times New Roman"/>
          <w:b/>
          <w:bCs/>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Descriptif du système d’évaluation des stagiaires</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 système d’évaluation doit identifier clairement les démarches, les outils et les modalités pour l’évaluation des stagiaires et la validation de leurs acquis en formation.</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Il doit préciser l’organisation et la marche à suivre pour l’ensemble des intervenants dans une filière de formation, afin d’assurer une conformité avec la réglementation en vigueur et de garantir une cohérence pédagogique dans la réalisation des apprentissages visés par le contenu du programme de la filière.</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Enfin, le système d’évaluation doit constituer une base du contrat pédagogique entre l’établissement et le stagiaire. Il doit permettre à ce dernier de se positionner dans un parcours de formation structuré autour d’apprentissages organisés dans des unités de formation, opérationnalisés par des séquences pédagogiques et évalués par des contrôles continus et des examens terminaux.</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Ces contrôles doivent permettre à leur tour au stagiaire de vérifier ses apprentissages et réguler ses efforts, d’une part et de valider et faire reconnaître ses acquis par la réussite des différentes étapes de la formation (passage d’une année à l’autre, obtention du diplôme/certificat).</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b/>
          <w:bCs/>
          <w:i/>
          <w:caps/>
          <w:sz w:val="21"/>
          <w:szCs w:val="21"/>
          <w:lang w:eastAsia="fr-FR"/>
        </w:rPr>
      </w:pPr>
      <w:r w:rsidRPr="00C227AD">
        <w:rPr>
          <w:rFonts w:asciiTheme="minorHAnsi" w:eastAsia="Times New Roman" w:hAnsiTheme="minorHAnsi" w:cs="Times New Roman"/>
          <w:b/>
          <w:bCs/>
          <w:i/>
          <w:sz w:val="21"/>
          <w:szCs w:val="21"/>
          <w:lang w:eastAsia="fr-FR"/>
        </w:rPr>
        <w:t>Le planning prévisionnel du système d’évaluation</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 planning du système d’évaluation constitue le chronogramme d’affectation des activités d’évaluation que l’équipe pédagogique d’une filière de formation compte réaliser tout au long de la durée de la formation. Il s’agit d’une répartition dans le temps de la réalisation des différents contrôles et examens (déclinés ci-dessous), dans chaque unité de formation, en fonction de l’état d’avancement prévisionnel du programme de la filière.</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caps/>
          <w:sz w:val="21"/>
          <w:szCs w:val="21"/>
          <w:lang w:eastAsia="fr-FR" w:bidi="ar-MA"/>
        </w:rPr>
      </w:pPr>
      <w:r w:rsidRPr="00C227AD">
        <w:rPr>
          <w:rFonts w:asciiTheme="minorHAnsi" w:eastAsia="Times New Roman" w:hAnsiTheme="minorHAnsi" w:cs="Times New Roman"/>
          <w:b/>
          <w:bCs/>
          <w:i/>
          <w:caps/>
          <w:sz w:val="21"/>
          <w:szCs w:val="21"/>
          <w:lang w:eastAsia="fr-FR" w:bidi="ar-MA"/>
        </w:rPr>
        <w:t>Le Contrôle continu (CC)</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 contrôle continu constitue l’outil de pilotage pédagogique pour les formateurs. Cette évaluation formative est réalisée au fur et à mesure que le formateur avance dans l’exécution du programme des unités de formation dont il a la charge.</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L’évaluation formative est orientée vers une aide pédagogique immédiate auprès du stagiaire. Elle a pour but d’informer le formateur et le stagiaire sur le degré de réalisation de chacun des objectifs d’apprentissage visé par le programme de la filière de formation. Ainsi, elle se situe au début, au cours ou à la fin d’une séquence d’apprentissage plus ou moins longue.</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En somme, le contrôle continu vise à décrire la situation présente et permet une action corrective immédiate. Les décisions qui en découlent sont essentiellement d’ordre pédagogique. Elles visent à informer les formateurs et les stagiaires sur les apprentissages qui doivent être validés, permettant le passage aux suivants, ou sur les apprentissages qui doivent être corrigés, améliorés et complétés et sur les moyens à mobiliser pour y parvenir.</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Ainsi, les contrôles continus peuvent être effectués, sur les aspects théoriques et pratiques, au début, au cours ou en fin de chaque séquence pédagogique. La moyenne des notes obtenues aux différents contrôles continus dans une même unité de formation représente 30% de la note finale attribuée à l’unité de formation.</w:t>
      </w:r>
    </w:p>
    <w:p w:rsidR="00CA6FD2" w:rsidRPr="00C227AD" w:rsidRDefault="00CA6FD2" w:rsidP="00CA6FD2">
      <w:pPr>
        <w:spacing w:before="0" w:after="0" w:line="240" w:lineRule="auto"/>
        <w:ind w:right="71"/>
        <w:jc w:val="both"/>
        <w:rPr>
          <w:rFonts w:asciiTheme="minorHAnsi" w:eastAsia="Times New Roman" w:hAnsiTheme="minorHAnsi" w:cs="Times New Roman"/>
          <w:b/>
          <w:bCs/>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b/>
          <w:bCs/>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Conception et validation des épreuves des contrôles continus</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Les épreuves des contrôles continus, qu’elles soient d’ordre théorique, technique ou pratique, doivent être conçues de manière à respecter leur fonction pédagogique. Le contenu des épreuves et les conditions de réalisation des contrôles doivent refléter le contexte, les méthodes et les modalités d’atteinte des objectifs d’une séquence pédagogique de l’unité de formation. Ils doivent être réalisés toujours en fonction :</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du calendrier et de l’état d’avancement des programmes (référence à l’emploi du temps de la filière),</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du contenu du programme de formation (référence aux séquences pédagogiques et aux unités de formation).</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 xml:space="preserve">Etant donné leur fonction pédagogique, les épreuves des contrôles continus doivent être conçues et élaborées par le formateur chargé de l’unité de formation de référence. Une fois ces épreuves réalisées, elles sont consignées dans le répertoire des épreuves des contrôles dans le classeur du jury d’examens. Elles sont soumises au jury d’examens </w:t>
      </w:r>
      <w:r w:rsidRPr="00C227AD">
        <w:rPr>
          <w:rFonts w:asciiTheme="minorHAnsi" w:eastAsia="Times New Roman" w:hAnsiTheme="minorHAnsi" w:cs="Times New Roman"/>
          <w:i/>
          <w:iCs/>
          <w:sz w:val="21"/>
          <w:szCs w:val="21"/>
          <w:lang w:eastAsia="fr-FR"/>
        </w:rPr>
        <w:t xml:space="preserve">a posteriori </w:t>
      </w:r>
      <w:r w:rsidRPr="00C227AD">
        <w:rPr>
          <w:rFonts w:asciiTheme="minorHAnsi" w:eastAsia="Times New Roman" w:hAnsiTheme="minorHAnsi" w:cs="Times New Roman"/>
          <w:i/>
          <w:sz w:val="21"/>
          <w:szCs w:val="21"/>
          <w:lang w:eastAsia="fr-FR"/>
        </w:rPr>
        <w:t>(après réalisation du contrôle et correction des résultats) notamment lors de la validation des notes.</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Cependant, afin de permettre au jury d’examens, ou à défaut au président du jury, d’apprécier la cohérence et la pertinence de l’épreuve du contrôle continu avec les objectifs pédagogiques qu’elle est censée vérifier, le formateur doit accompagner l’épreuve d’une fiche technique précisant la démarche, les supports et les critères d’évaluation et de validation des apprentissages en référence aux objectifs de la séquence pédagogique en cours (cf. fiche dans le classeur pédagogique).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lowKashida"/>
        <w:rPr>
          <w:rFonts w:asciiTheme="minorHAnsi" w:eastAsia="Times New Roman" w:hAnsiTheme="minorHAnsi" w:cs="Times New Roman"/>
          <w:b/>
          <w:bCs/>
          <w:i/>
          <w:caps/>
          <w:sz w:val="21"/>
          <w:szCs w:val="21"/>
          <w:lang w:eastAsia="fr-FR" w:bidi="ar-MA"/>
        </w:rPr>
      </w:pPr>
      <w:r w:rsidRPr="00C227AD">
        <w:rPr>
          <w:rFonts w:asciiTheme="minorHAnsi" w:eastAsia="Times New Roman" w:hAnsiTheme="minorHAnsi" w:cs="Times New Roman"/>
          <w:b/>
          <w:bCs/>
          <w:i/>
          <w:caps/>
          <w:sz w:val="21"/>
          <w:szCs w:val="21"/>
          <w:lang w:eastAsia="fr-FR" w:bidi="ar-MA"/>
        </w:rPr>
        <w:t>Examens de fin de cursus de formation (EFCF)</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r w:rsidRPr="00C227AD">
        <w:rPr>
          <w:rFonts w:asciiTheme="minorHAnsi" w:eastAsia="Times New Roman" w:hAnsiTheme="minorHAnsi" w:cs="Times New Roman"/>
          <w:i/>
          <w:sz w:val="21"/>
          <w:szCs w:val="21"/>
          <w:lang w:eastAsia="fr-FR" w:bidi="ar-MA"/>
        </w:rPr>
        <w:t>Qu’il soit théorique ou pratique, l’examen de fin de cursus de formation, constitue un contrôle terminal qui vise à faire le bilan des apprentissages réalisés à la fin d’un parcours de formation. C’est de l’évaluation sommative.</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r w:rsidRPr="00C227AD">
        <w:rPr>
          <w:rFonts w:asciiTheme="minorHAnsi" w:eastAsia="Times New Roman" w:hAnsiTheme="minorHAnsi" w:cs="Times New Roman"/>
          <w:i/>
          <w:sz w:val="21"/>
          <w:szCs w:val="21"/>
          <w:lang w:eastAsia="fr-FR" w:bidi="ar-MA"/>
        </w:rPr>
        <w:t>L’évaluation sommative est la fonction d’évaluation employée à la fin d’un parcours, d’un cycle, d’une partie ou de la totalité d’un programme d’études dans un but de classification ou de certification.</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r w:rsidRPr="00C227AD">
        <w:rPr>
          <w:rFonts w:asciiTheme="minorHAnsi" w:eastAsia="Times New Roman" w:hAnsiTheme="minorHAnsi" w:cs="Times New Roman"/>
          <w:i/>
          <w:sz w:val="21"/>
          <w:szCs w:val="21"/>
          <w:lang w:eastAsia="fr-FR" w:bidi="ar-MA"/>
        </w:rPr>
        <w:t>La caractéristique essentielle de l’évaluation sommative, c’est qu’un jugement est porté sur ce qui est maîtrisé par les stagiaires. Il s’agit d’une démarche dont les données obtenues, à la fin d’un programme d’études ou d’une partie terminale du programme, servent à exprimer le degré de maîtrise par le stagiaire des objectifs visés et à prendre les décisions relatives à la sanction des acquis, à la reconnaissance des acquis expérientiels (stages en entreprises par exemple)… et au passage dans la classe supérieure.</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r w:rsidRPr="00C227AD">
        <w:rPr>
          <w:rFonts w:asciiTheme="minorHAnsi" w:eastAsia="Times New Roman" w:hAnsiTheme="minorHAnsi" w:cs="Times New Roman"/>
          <w:i/>
          <w:sz w:val="21"/>
          <w:szCs w:val="21"/>
          <w:lang w:eastAsia="fr-FR" w:bidi="ar-MA"/>
        </w:rPr>
        <w:t>L’évaluation sommative se veut globalisante, elle doit refléter la synthèse des apprentissages et fournir un portrait d’ensemble des apprentissages pour chacun des stagiaires d’un même groupe ou d’un même niveau.</w:t>
      </w:r>
    </w:p>
    <w:p w:rsidR="00CA6FD2" w:rsidRPr="00C227AD" w:rsidRDefault="00CA6FD2" w:rsidP="00CA6FD2">
      <w:pPr>
        <w:spacing w:before="0" w:after="0" w:line="240" w:lineRule="auto"/>
        <w:ind w:right="71"/>
        <w:jc w:val="both"/>
        <w:rPr>
          <w:rFonts w:asciiTheme="minorHAnsi" w:eastAsia="Times New Roman" w:hAnsiTheme="minorHAnsi" w:cs="Times New Roman"/>
          <w:b/>
          <w:bCs/>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b/>
          <w:bCs/>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b/>
          <w:bCs/>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 xml:space="preserve">Conception et validation des épreuves des </w:t>
      </w:r>
      <w:r w:rsidRPr="00C227AD">
        <w:rPr>
          <w:rFonts w:asciiTheme="minorHAnsi" w:eastAsia="Times New Roman" w:hAnsiTheme="minorHAnsi" w:cs="Times New Roman"/>
          <w:b/>
          <w:bCs/>
          <w:i/>
          <w:sz w:val="21"/>
          <w:szCs w:val="21"/>
          <w:lang w:eastAsia="fr-FR" w:bidi="ar-MA"/>
        </w:rPr>
        <w:t>examens de fin de cursus de formation</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Les épreuves des examens de fin de cursus de formation, qu’elles soient d’ordre théorique ou pratique, doivent être conçues de manière à respecter leur fonction globalisante et synthétique des apprentissages. Les examens doivent être effectués toujours après avoir réalisé l’ensemble des séquences pédagogiques d’une même unité de formation.</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 contenu des épreuves et les conditions de réalisation des examens doivent refléter les acquis visés par les objectifs de l’unité de formation et les résultats attendus du stagiaire en fin de cursus de formation.</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Etant donné leur caractère sommatif des apprentissages, les épreuves des examens de fin de cursus de formation doivent être conçues et élaborées de manière à sanctionner et reconnaître l’ensemble des apprentissages du stagiaire dans une unité de formation. Il est recherché par cet examen d’apprécier et de mesurer la capacité du stagiaire à combiner un ensemble de savoirs théoriques, techniques et pratiques pour résoudre la problématique posée par l’épreuve.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 xml:space="preserve">A la différence du contrôle continu, l’épreuve de l’examen est validée par le jury d’examens </w:t>
      </w:r>
      <w:r w:rsidRPr="00C227AD">
        <w:rPr>
          <w:rFonts w:asciiTheme="minorHAnsi" w:eastAsia="Times New Roman" w:hAnsiTheme="minorHAnsi" w:cs="Times New Roman"/>
          <w:i/>
          <w:iCs/>
          <w:sz w:val="21"/>
          <w:szCs w:val="21"/>
          <w:lang w:eastAsia="fr-FR"/>
        </w:rPr>
        <w:t>a priori</w:t>
      </w:r>
      <w:r w:rsidRPr="00C227AD">
        <w:rPr>
          <w:rFonts w:asciiTheme="minorHAnsi" w:eastAsia="Times New Roman" w:hAnsiTheme="minorHAnsi" w:cs="Times New Roman"/>
          <w:i/>
          <w:sz w:val="21"/>
          <w:szCs w:val="21"/>
          <w:lang w:eastAsia="fr-FR"/>
        </w:rPr>
        <w:t xml:space="preserve"> (avant l’organisation de l’examen). En effet, l’aspect programmatique des unités de formation permet à tout formateur d’identifier, en fonction des objectifs poursuivis par chaque unité de formation, plusieurs scénarii proposant des situations différentes visant à évaluer la performance du stagiaire et sa capacité à réutiliser ses apprentissages de manière combinée et adéquate.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Ces scénarii constituent les propositions que chaque formateur doit soumettre au jury d’examens pour étude, sélection et validation.</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Cependant, afin de permettre au jury d’examens, d’apprécier la cohérence et la pertinence des épreuves d’examen de fin de cursus de formation, le formateur doit fournir pour chaque proposition d’épreuve le corrigé de l’épreuve accompagné d’une fiche technique précisant les conditions et les critères de validation des apprentissages en référence aux objectifs de l’unité de formation (barèmes de notation et critères de correction des copies des stagiaires) d’une part, et les résultats escomptés et les performances qu’elles sont supposées vérifier chez les stagiaires d’autre part (cf. fiche dans le classeur pédagogique).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Il revient en définitive au jury d’examens de choisir les épreuves qui lui paraissent correspondre au mieux à la validation des acquis des stagiaires dans chaque unité de formation selon deux possibilités :</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Une épreuve parmi les propositions des formateurs,</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Une épreuve résultant de la combinaison des différentes propositions des formateurs,</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Dans le cas ou le jury d’examens rejette les propositions des formateurs, il propose les épreuves d’examens les plus appropriées.</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r w:rsidRPr="00C227AD">
        <w:rPr>
          <w:rFonts w:asciiTheme="minorHAnsi" w:eastAsia="Times New Roman" w:hAnsiTheme="minorHAnsi" w:cs="Times New Roman"/>
          <w:i/>
          <w:sz w:val="21"/>
          <w:szCs w:val="21"/>
          <w:lang w:eastAsia="fr-FR" w:bidi="ar-MA"/>
        </w:rPr>
        <w:t xml:space="preserve">Ces propositions doivent comporter, </w:t>
      </w:r>
      <w:r w:rsidRPr="00C227AD">
        <w:rPr>
          <w:rFonts w:asciiTheme="minorHAnsi" w:eastAsia="Times New Roman" w:hAnsiTheme="minorHAnsi" w:cs="Times New Roman"/>
          <w:i/>
          <w:sz w:val="21"/>
          <w:szCs w:val="21"/>
          <w:lang w:eastAsia="fr-FR"/>
        </w:rPr>
        <w:t xml:space="preserve">pour chaque examen de fin de cursus de formation, </w:t>
      </w:r>
      <w:r w:rsidRPr="00C227AD">
        <w:rPr>
          <w:rFonts w:asciiTheme="minorHAnsi" w:eastAsia="Times New Roman" w:hAnsiTheme="minorHAnsi" w:cs="Times New Roman"/>
          <w:i/>
          <w:sz w:val="21"/>
          <w:szCs w:val="21"/>
          <w:lang w:eastAsia="fr-FR" w:bidi="ar-MA"/>
        </w:rPr>
        <w:t>trois épreuves théoriques et trois épreuves pratiques.</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r w:rsidRPr="00C227AD">
        <w:rPr>
          <w:rFonts w:asciiTheme="minorHAnsi" w:eastAsia="Times New Roman" w:hAnsiTheme="minorHAnsi" w:cs="Times New Roman"/>
          <w:i/>
          <w:sz w:val="21"/>
          <w:szCs w:val="21"/>
          <w:lang w:eastAsia="fr-FR" w:bidi="ar-MA"/>
        </w:rPr>
        <w:t>Les épreuves théoriques sont destinées à évaluer les apprentissages réalisés par le stagiaire, relatifs à la partie théorique du contenu de l’unité de formation tel qu’identifié dans le programme de la filière.</w:t>
      </w:r>
    </w:p>
    <w:p w:rsidR="00CA6FD2" w:rsidRPr="00C227AD" w:rsidRDefault="00CA6FD2" w:rsidP="00CA6FD2">
      <w:pPr>
        <w:spacing w:before="0" w:after="0" w:line="240" w:lineRule="auto"/>
        <w:ind w:right="-1"/>
        <w:jc w:val="both"/>
        <w:rPr>
          <w:rFonts w:asciiTheme="minorHAnsi" w:eastAsia="Times New Roman" w:hAnsiTheme="minorHAnsi" w:cs="Times New Roman"/>
          <w:i/>
          <w:sz w:val="21"/>
          <w:szCs w:val="21"/>
          <w:lang w:eastAsia="fr-FR" w:bidi="ar-MA"/>
        </w:rPr>
      </w:pPr>
      <w:r w:rsidRPr="00C227AD">
        <w:rPr>
          <w:rFonts w:asciiTheme="minorHAnsi" w:eastAsia="Times New Roman" w:hAnsiTheme="minorHAnsi" w:cs="Times New Roman"/>
          <w:i/>
          <w:sz w:val="21"/>
          <w:szCs w:val="21"/>
          <w:lang w:eastAsia="fr-FR" w:bidi="ar-MA"/>
        </w:rPr>
        <w:t>Les épreuves pratiques, à leur tour, visent à évaluer  les apprentissages, réalisés par le stagiaire, relatifs à la partie pratique du contenu de l’unité de formation tel qu’identifié dans le programme de la filière.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Pour chaque examen de fin de cursus de formation, le jury choisi deux épreuves, une épreuve principale et une épreuve secondaire (le jury d’examens au moment de la duplication peut donner, s’il le juge nécessaire, la priorité à l’épreuve secondaire).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Une fois les épreuves choisies, il est de la responsabilité des membres du jury d’examens de garder la confidentialité des épreuves ; ces épreuves sont signées par les membres du jury puis mises chacune dans une enveloppe portant le cachet de l’établissement, l’intitulé de l’unité de formation, la dénomination de la filière de formation, l’année de formation et la mention « épreuve principale », « épreuve secondaire », puis mise sous scellée en séance plénière (aucune copie de l’épreuve n’est autorisée).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Cette enveloppe est confiée au directeur pédagogique de l’établissement.</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La semaine qui précède l’examen, l’enveloppe est ouverte par le président du jury d’examens ou, à défaut, par un membre du jury mandaté à cet effet, en présence du directeur pédagogique. Ce dernier procède à la duplication de l’épreuve en autant d’exemplaires que de stagiaires inscrits dans la filière, puis l’ensemble est remis sous enveloppes scellées, portant les mêmes inscriptions que l’enveloppe qui contenait l’épreuve avec en plus la précision du nombre d’exemplaires.</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Il revient au jury d’examens de superviser l’ouverture de ces enveloppes au début de chaque examen.</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b/>
          <w:bCs/>
          <w:i/>
          <w:sz w:val="21"/>
          <w:szCs w:val="21"/>
          <w:u w:val="single"/>
          <w:lang w:eastAsia="fr-FR"/>
        </w:rPr>
      </w:pPr>
    </w:p>
    <w:p w:rsidR="00CA6FD2" w:rsidRPr="00C227AD" w:rsidRDefault="00CA6FD2" w:rsidP="00CA6FD2">
      <w:pPr>
        <w:spacing w:before="0" w:after="0" w:line="240" w:lineRule="auto"/>
        <w:jc w:val="both"/>
        <w:rPr>
          <w:rFonts w:asciiTheme="minorHAnsi" w:eastAsia="Times New Roman" w:hAnsiTheme="minorHAnsi" w:cs="Times New Roman"/>
          <w:b/>
          <w:bCs/>
          <w:i/>
          <w:sz w:val="21"/>
          <w:szCs w:val="21"/>
          <w:u w:val="single"/>
          <w:lang w:eastAsia="fr-FR"/>
        </w:rPr>
      </w:pPr>
    </w:p>
    <w:p w:rsidR="00CA6FD2" w:rsidRPr="00C227AD" w:rsidRDefault="00CA6FD2" w:rsidP="00CA6FD2">
      <w:pPr>
        <w:spacing w:before="0" w:after="0" w:line="240" w:lineRule="auto"/>
        <w:jc w:val="both"/>
        <w:rPr>
          <w:rFonts w:asciiTheme="minorHAnsi" w:eastAsia="Times New Roman" w:hAnsiTheme="minorHAnsi" w:cs="Times New Roman"/>
          <w:b/>
          <w:bCs/>
          <w:i/>
          <w:sz w:val="21"/>
          <w:szCs w:val="21"/>
          <w:u w:val="single"/>
          <w:lang w:eastAsia="fr-FR"/>
        </w:rPr>
      </w:pPr>
      <w:r w:rsidRPr="00C227AD">
        <w:rPr>
          <w:rFonts w:asciiTheme="minorHAnsi" w:eastAsia="Times New Roman" w:hAnsiTheme="minorHAnsi" w:cs="Times New Roman"/>
          <w:b/>
          <w:bCs/>
          <w:i/>
          <w:sz w:val="21"/>
          <w:szCs w:val="21"/>
          <w:u w:val="single"/>
          <w:lang w:eastAsia="fr-FR"/>
        </w:rPr>
        <w:t xml:space="preserve">C’est la responsabilité du directeur pédagogique qui est engagée dans la </w:t>
      </w:r>
      <w:proofErr w:type="gramStart"/>
      <w:r w:rsidRPr="00C227AD">
        <w:rPr>
          <w:rFonts w:asciiTheme="minorHAnsi" w:eastAsia="Times New Roman" w:hAnsiTheme="minorHAnsi" w:cs="Times New Roman"/>
          <w:b/>
          <w:bCs/>
          <w:i/>
          <w:sz w:val="21"/>
          <w:szCs w:val="21"/>
          <w:u w:val="single"/>
          <w:lang w:eastAsia="fr-FR"/>
        </w:rPr>
        <w:t>confidentialité</w:t>
      </w:r>
      <w:proofErr w:type="gramEnd"/>
      <w:r w:rsidRPr="00C227AD">
        <w:rPr>
          <w:rFonts w:asciiTheme="minorHAnsi" w:eastAsia="Times New Roman" w:hAnsiTheme="minorHAnsi" w:cs="Times New Roman"/>
          <w:b/>
          <w:bCs/>
          <w:i/>
          <w:sz w:val="21"/>
          <w:szCs w:val="21"/>
          <w:u w:val="single"/>
          <w:lang w:eastAsia="fr-FR"/>
        </w:rPr>
        <w:t xml:space="preserve"> des épreuves.</w:t>
      </w:r>
    </w:p>
    <w:p w:rsidR="00CA6FD2" w:rsidRPr="00C227AD" w:rsidRDefault="00CA6FD2" w:rsidP="00CA6FD2">
      <w:pPr>
        <w:spacing w:before="0" w:after="0" w:line="240" w:lineRule="auto"/>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L’établissement doit prévoir, pour les examens de fin de cursus de formation, des imprimés de copie d’examens garantissant l’anonymat et le codage des copies remises par les stagiaires en fin de l’épreuve.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Une fois l’examen passé, le secrétariat du jury consigne la copie originale de l’épreuve dans le répertoire des épreuves des EFCF dans le classeur du jury d’examens.</w:t>
      </w:r>
    </w:p>
    <w:p w:rsidR="00CA6FD2" w:rsidRPr="00C227AD" w:rsidRDefault="00CA6FD2" w:rsidP="00CA6FD2">
      <w:pPr>
        <w:spacing w:before="0" w:after="0" w:line="240" w:lineRule="auto"/>
        <w:ind w:right="-1"/>
        <w:jc w:val="both"/>
        <w:rPr>
          <w:rFonts w:asciiTheme="minorHAnsi" w:eastAsia="Times New Roman" w:hAnsiTheme="minorHAnsi" w:cs="Times New Roman"/>
          <w:b/>
          <w:bCs/>
          <w:i/>
          <w:caps/>
          <w:sz w:val="21"/>
          <w:szCs w:val="21"/>
          <w:lang w:eastAsia="fr-FR" w:bidi="ar-MA"/>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La note obtenue à l’examen de fin de cursus de formation d’une unité de formation représente 20% de la note finale attribuée à l’unité de formation, lorsqu’il s’agit de l’examen théorique et 30% lorsqu’il s’agit de l’examen pratique.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Une seule session est prévue pour chaque examen de fin de cursus de formation.</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1"/>
        <w:jc w:val="both"/>
        <w:rPr>
          <w:rFonts w:asciiTheme="minorHAnsi" w:eastAsia="Times New Roman" w:hAnsiTheme="minorHAnsi" w:cs="Times New Roman"/>
          <w:b/>
          <w:bCs/>
          <w:i/>
          <w:caps/>
          <w:sz w:val="21"/>
          <w:szCs w:val="21"/>
          <w:lang w:eastAsia="fr-FR" w:bidi="ar-MA"/>
        </w:rPr>
      </w:pPr>
      <w:r w:rsidRPr="00C227AD">
        <w:rPr>
          <w:rFonts w:asciiTheme="minorHAnsi" w:eastAsia="Times New Roman" w:hAnsiTheme="minorHAnsi" w:cs="Times New Roman"/>
          <w:b/>
          <w:bCs/>
          <w:i/>
          <w:caps/>
          <w:sz w:val="21"/>
          <w:szCs w:val="21"/>
          <w:lang w:eastAsia="fr-FR" w:bidi="ar-MA"/>
        </w:rPr>
        <w:br w:type="page"/>
        <w:t>Soutenance des RESULTATS DES travaux individuels</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Les travaux individuels de fin de formation représentent la production individuelle du stagiaire, en fin de formation, dans le cadre d’un projet ayant un lien direct avec l’un des aspects professionnels de la filière de formation. Il vise à mettre le stagiaire dans une dynamique d’analyse de situation et de développement de solutions inscrites dans une démarche de réinvestissement et d’exploitation des apprentissages opérés tout au long de la formation.</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En aucun cas, ces travaux ne peuvent être confondus avec le stage en entreprise qui est assimilé à une unité de formation (240 heures) selon les normes de qualification des filières.</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 rapport de stage (cf. livret du stage en entreprise) n’est pas soutenu devant un jury, il est simplement noté</w:t>
      </w:r>
      <w:r w:rsidRPr="00C227AD">
        <w:rPr>
          <w:rFonts w:asciiTheme="minorHAnsi" w:eastAsia="Times New Roman" w:hAnsiTheme="minorHAnsi" w:cs="Times New Roman"/>
          <w:i/>
          <w:sz w:val="21"/>
          <w:szCs w:val="21"/>
          <w:vertAlign w:val="superscript"/>
          <w:lang w:eastAsia="fr-FR"/>
        </w:rPr>
        <w:footnoteReference w:id="3"/>
      </w:r>
      <w:r w:rsidRPr="00C227AD">
        <w:rPr>
          <w:rFonts w:asciiTheme="minorHAnsi" w:eastAsia="Times New Roman" w:hAnsiTheme="minorHAnsi" w:cs="Times New Roman"/>
          <w:i/>
          <w:sz w:val="21"/>
          <w:szCs w:val="21"/>
          <w:lang w:eastAsia="fr-FR"/>
        </w:rPr>
        <w:t xml:space="preserve"> par le(s) formateur(s) responsable(s) du suivi du stage et le tuteur en entreprise. </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Quant aux travaux individuels de fin de formation, deux cas de figure peuvent se présenter :</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 stagiaire peut dégager une problématique de ses travaux individuels lors de l’un de ses stages en entreprises, il sera amené, dans ce cas, à différencier dans deux productions séparées ; le rapport de stage d’une part et les résultats des travaux individuels à soutenir devant le jury de soutenance, d’autre part.</w:t>
      </w:r>
    </w:p>
    <w:p w:rsidR="00CA6FD2" w:rsidRPr="00C227AD" w:rsidRDefault="00CA6FD2" w:rsidP="00CA6FD2">
      <w:pPr>
        <w:numPr>
          <w:ilvl w:val="0"/>
          <w:numId w:val="16"/>
        </w:numPr>
        <w:spacing w:before="0" w:after="0" w:line="240" w:lineRule="auto"/>
        <w:ind w:left="360"/>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le stagiaire peut choisir une problématique pour ses travaux individuels complètement indépendante des stages en entreprises.</w:t>
      </w:r>
    </w:p>
    <w:p w:rsidR="00CA6FD2" w:rsidRPr="00C227AD" w:rsidRDefault="00CA6FD2" w:rsidP="00CA6FD2">
      <w:pPr>
        <w:spacing w:before="0" w:after="0" w:line="240" w:lineRule="auto"/>
        <w:ind w:right="74"/>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Il est souhaitable que les travaux individuels de fin de formation, soient préparés et réalisés au fur et à mesure de la réalisation de la formation.</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Dans l’évaluation de la production du stagiaire, il ne s’agit pas de vérifier ses acquis selon tel ou tel objectif pédagogique, mais de projeter le stagiaire dans une perspective de production de savoir sur son action ; le stagiaire doit démontrer sa capacité à produire de manière construite et réfléchie en fonction d’une situation problématisée s’inscrivant dans l’environnement professionnel du métier qu’il se prépare à exercer (analyse d’une expérience en entreprise, conception d’un prototype, proposition d’une solution pour une situation problématique, analyse des résultats ou des modalités d’application d’une technique, théorie…).</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Cette production attendue du stagiaire devrait être  accompagnée par une stratégie pédagogique de préparation et d’orientation des stagiaires dans le choix du sujet des travaux individuels de fin de formation. Cette démarche d’accompagnement et de suivi des stagiaires dans le processus de production des travaux individuels, doit être explicitée par le formateur dans une fiche technique pour chaque stagiaire dont il assure le tutorat, précisant les critères d’appréciation des productions des stagiaires et d’attribution de la note correspondante, afin de permettre au jury d’examens d’adapter les modalités de validation de soutenance des travaux individuels.</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r w:rsidRPr="00C227AD">
        <w:rPr>
          <w:rFonts w:asciiTheme="minorHAnsi" w:eastAsia="Times New Roman" w:hAnsiTheme="minorHAnsi" w:cs="Times New Roman"/>
          <w:i/>
          <w:sz w:val="21"/>
          <w:szCs w:val="21"/>
          <w:lang w:eastAsia="fr-FR"/>
        </w:rPr>
        <w:t>La note attribuée par le jury de soutenance</w:t>
      </w:r>
      <w:r w:rsidRPr="00C227AD">
        <w:rPr>
          <w:rFonts w:asciiTheme="minorHAnsi" w:eastAsia="Times New Roman" w:hAnsiTheme="minorHAnsi" w:cs="Times New Roman"/>
          <w:i/>
          <w:sz w:val="21"/>
          <w:szCs w:val="21"/>
          <w:vertAlign w:val="superscript"/>
          <w:lang w:eastAsia="fr-FR"/>
        </w:rPr>
        <w:footnoteReference w:id="4"/>
      </w:r>
      <w:r w:rsidRPr="00C227AD">
        <w:rPr>
          <w:rFonts w:asciiTheme="minorHAnsi" w:eastAsia="Times New Roman" w:hAnsiTheme="minorHAnsi" w:cs="Times New Roman"/>
          <w:i/>
          <w:sz w:val="21"/>
          <w:szCs w:val="21"/>
          <w:lang w:eastAsia="fr-FR"/>
        </w:rPr>
        <w:t xml:space="preserve"> aux travaux individuels de fin de formation représente 20% de la note finale de la formation.</w:t>
      </w:r>
    </w:p>
    <w:p w:rsidR="00CA6FD2" w:rsidRPr="00C227AD" w:rsidRDefault="00CA6FD2" w:rsidP="00CA6FD2">
      <w:pPr>
        <w:spacing w:before="0" w:after="0" w:line="240" w:lineRule="auto"/>
        <w:ind w:right="71"/>
        <w:jc w:val="both"/>
        <w:rPr>
          <w:rFonts w:asciiTheme="minorHAnsi" w:eastAsia="Times New Roman" w:hAnsiTheme="minorHAnsi" w:cs="Times New Roman"/>
          <w:i/>
          <w:sz w:val="21"/>
          <w:szCs w:val="21"/>
          <w:lang w:eastAsia="fr-FR"/>
        </w:rPr>
      </w:pPr>
    </w:p>
    <w:p w:rsidR="00CA6FD2" w:rsidRPr="00C227AD" w:rsidRDefault="00CA6FD2" w:rsidP="00CA6FD2">
      <w:pPr>
        <w:autoSpaceDE w:val="0"/>
        <w:autoSpaceDN w:val="0"/>
        <w:adjustRightInd w:val="0"/>
        <w:spacing w:before="0" w:after="0" w:line="240" w:lineRule="auto"/>
        <w:jc w:val="both"/>
        <w:rPr>
          <w:rFonts w:asciiTheme="minorHAnsi" w:eastAsiaTheme="minorHAnsi" w:hAnsiTheme="minorHAnsi" w:cs="ArialNarrow"/>
          <w:i/>
          <w:sz w:val="21"/>
          <w:szCs w:val="21"/>
        </w:rPr>
      </w:pPr>
      <w:r w:rsidRPr="00C227AD">
        <w:rPr>
          <w:rFonts w:asciiTheme="minorHAnsi" w:eastAsia="Times New Roman" w:hAnsiTheme="minorHAnsi" w:cs="Times New Roman"/>
          <w:i/>
          <w:sz w:val="21"/>
          <w:szCs w:val="21"/>
          <w:lang w:eastAsia="fr-FR"/>
        </w:rPr>
        <w:t>Une seule session est prévue pour la soutenance des résultats des travaux individuels de fin de formation.</w:t>
      </w:r>
    </w:p>
    <w:p w:rsidR="00CA6FD2" w:rsidRPr="00C227AD" w:rsidRDefault="00CA6FD2" w:rsidP="00CA6FD2">
      <w:pPr>
        <w:spacing w:before="0" w:after="0" w:line="240" w:lineRule="auto"/>
        <w:jc w:val="both"/>
        <w:rPr>
          <w:rFonts w:asciiTheme="minorHAnsi" w:eastAsia="Times New Roman" w:hAnsiTheme="minorHAnsi" w:cs="Times New Roman"/>
          <w:i/>
          <w:sz w:val="21"/>
          <w:szCs w:val="21"/>
          <w:lang w:eastAsia="fr-FR"/>
        </w:rPr>
        <w:sectPr w:rsidR="00CA6FD2" w:rsidRPr="00C227AD" w:rsidSect="00C227AD">
          <w:type w:val="continuous"/>
          <w:pgSz w:w="11906" w:h="16838" w:code="9"/>
          <w:pgMar w:top="1418" w:right="1134" w:bottom="1418" w:left="1701" w:header="709" w:footer="516" w:gutter="0"/>
          <w:cols w:num="2" w:space="708"/>
          <w:titlePg/>
          <w:docGrid w:linePitch="360"/>
        </w:sectPr>
      </w:pPr>
    </w:p>
    <w:p w:rsidR="00CA6FD2" w:rsidRPr="00C227AD" w:rsidRDefault="00CA6FD2" w:rsidP="00CA6FD2">
      <w:pPr>
        <w:spacing w:before="0" w:after="0" w:line="240" w:lineRule="auto"/>
        <w:jc w:val="center"/>
        <w:rPr>
          <w:rFonts w:asciiTheme="minorHAnsi" w:eastAsia="Times New Roman" w:hAnsiTheme="minorHAnsi" w:cs="Times New Roman"/>
          <w:b/>
          <w:bCs/>
          <w:i/>
          <w:smallCaps/>
          <w:sz w:val="21"/>
          <w:szCs w:val="21"/>
          <w:lang w:eastAsia="fr-FR"/>
        </w:rPr>
      </w:pPr>
      <w:r w:rsidRPr="00C227AD">
        <w:rPr>
          <w:rFonts w:asciiTheme="minorHAnsi" w:eastAsia="Times New Roman" w:hAnsiTheme="minorHAnsi" w:cs="Times New Roman"/>
          <w:b/>
          <w:bCs/>
          <w:i/>
          <w:smallCaps/>
          <w:sz w:val="21"/>
          <w:szCs w:val="21"/>
          <w:lang w:eastAsia="fr-FR"/>
        </w:rPr>
        <w:t>Système d’évaluation en 1</w:t>
      </w:r>
      <w:r w:rsidRPr="00C227AD">
        <w:rPr>
          <w:rFonts w:asciiTheme="minorHAnsi" w:eastAsia="Times New Roman" w:hAnsiTheme="minorHAnsi" w:cs="Times New Roman"/>
          <w:b/>
          <w:bCs/>
          <w:i/>
          <w:smallCaps/>
          <w:sz w:val="21"/>
          <w:szCs w:val="21"/>
          <w:vertAlign w:val="superscript"/>
          <w:lang w:eastAsia="fr-FR"/>
        </w:rPr>
        <w:t>ère</w:t>
      </w:r>
      <w:r w:rsidRPr="00C227AD">
        <w:rPr>
          <w:rFonts w:asciiTheme="minorHAnsi" w:eastAsia="Times New Roman" w:hAnsiTheme="minorHAnsi" w:cs="Times New Roman"/>
          <w:b/>
          <w:bCs/>
          <w:i/>
          <w:smallCaps/>
          <w:sz w:val="21"/>
          <w:szCs w:val="21"/>
          <w:lang w:eastAsia="fr-FR"/>
        </w:rPr>
        <w:t xml:space="preserve"> année de formation</w:t>
      </w:r>
    </w:p>
    <w:p w:rsidR="00CA6FD2" w:rsidRPr="00C227AD" w:rsidRDefault="00CA6FD2" w:rsidP="00CA6FD2">
      <w:pPr>
        <w:spacing w:before="0" w:after="0" w:line="240" w:lineRule="auto"/>
        <w:jc w:val="center"/>
        <w:rPr>
          <w:rFonts w:asciiTheme="minorHAnsi" w:eastAsia="Times New Roman" w:hAnsiTheme="minorHAnsi" w:cs="Times New Roman"/>
          <w:b/>
          <w:bCs/>
          <w:i/>
          <w:smallCaps/>
          <w:sz w:val="21"/>
          <w:szCs w:val="21"/>
          <w:lang w:eastAsia="fr-FR"/>
        </w:rPr>
      </w:pPr>
      <w:r w:rsidRPr="00C227AD">
        <w:rPr>
          <w:rFonts w:asciiTheme="minorHAnsi" w:eastAsia="Times New Roman" w:hAnsiTheme="minorHAnsi" w:cs="Times New Roman"/>
          <w:b/>
          <w:bCs/>
          <w:i/>
          <w:smallCaps/>
          <w:sz w:val="21"/>
          <w:szCs w:val="21"/>
          <w:lang w:eastAsia="fr-FR"/>
        </w:rPr>
        <w:t>Et modalités de passage en 2</w:t>
      </w:r>
      <w:r w:rsidRPr="00C227AD">
        <w:rPr>
          <w:rFonts w:asciiTheme="minorHAnsi" w:eastAsia="Times New Roman" w:hAnsiTheme="minorHAnsi" w:cs="Times New Roman"/>
          <w:b/>
          <w:bCs/>
          <w:i/>
          <w:smallCaps/>
          <w:sz w:val="21"/>
          <w:szCs w:val="21"/>
          <w:vertAlign w:val="superscript"/>
          <w:lang w:eastAsia="fr-FR"/>
        </w:rPr>
        <w:t>ème</w:t>
      </w:r>
      <w:r w:rsidRPr="00C227AD">
        <w:rPr>
          <w:rFonts w:asciiTheme="minorHAnsi" w:eastAsia="Times New Roman" w:hAnsiTheme="minorHAnsi" w:cs="Times New Roman"/>
          <w:b/>
          <w:bCs/>
          <w:i/>
          <w:smallCaps/>
          <w:sz w:val="21"/>
          <w:szCs w:val="21"/>
          <w:lang w:eastAsia="fr-FR"/>
        </w:rPr>
        <w:t xml:space="preserve"> année de la filière de formation</w:t>
      </w:r>
    </w:p>
    <w:p w:rsidR="00CA6FD2" w:rsidRPr="00C227AD" w:rsidRDefault="00CA6FD2" w:rsidP="00CA6FD2">
      <w:pPr>
        <w:spacing w:before="0" w:after="0" w:line="240" w:lineRule="auto"/>
        <w:rPr>
          <w:rFonts w:asciiTheme="minorHAnsi" w:eastAsia="Times New Roman" w:hAnsiTheme="minorHAnsi" w:cs="Times New Roman"/>
          <w:bCs/>
          <w:i/>
          <w:sz w:val="21"/>
          <w:szCs w:val="21"/>
          <w:lang w:eastAsia="fr-FR"/>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630"/>
        <w:gridCol w:w="567"/>
        <w:gridCol w:w="1113"/>
        <w:gridCol w:w="1080"/>
        <w:gridCol w:w="1080"/>
        <w:gridCol w:w="1080"/>
        <w:gridCol w:w="360"/>
        <w:gridCol w:w="2340"/>
        <w:gridCol w:w="459"/>
      </w:tblGrid>
      <w:tr w:rsidR="00CA6FD2" w:rsidRPr="00C227AD" w:rsidTr="00C227AD">
        <w:trPr>
          <w:cantSplit/>
        </w:trPr>
        <w:tc>
          <w:tcPr>
            <w:tcW w:w="2197" w:type="dxa"/>
            <w:gridSpan w:val="2"/>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 xml:space="preserve">Unités de </w:t>
            </w:r>
            <w:r w:rsidRPr="00C227AD">
              <w:rPr>
                <w:rFonts w:asciiTheme="minorHAnsi" w:eastAsia="Times New Roman" w:hAnsiTheme="minorHAnsi" w:cs="Times New Roman"/>
                <w:i/>
                <w:caps/>
                <w:lang w:eastAsia="fr-FR"/>
              </w:rPr>
              <w:t>f</w:t>
            </w:r>
            <w:r w:rsidRPr="00C227AD">
              <w:rPr>
                <w:rFonts w:asciiTheme="minorHAnsi" w:eastAsia="Times New Roman" w:hAnsiTheme="minorHAnsi" w:cs="Times New Roman"/>
                <w:i/>
                <w:lang w:eastAsia="fr-FR"/>
              </w:rPr>
              <w:t>ormation</w:t>
            </w:r>
          </w:p>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Et Coefficient</w:t>
            </w:r>
            <w:r w:rsidRPr="00C227AD">
              <w:rPr>
                <w:rFonts w:asciiTheme="minorHAnsi" w:eastAsia="Times New Roman" w:hAnsiTheme="minorHAnsi" w:cs="Times New Roman"/>
                <w:i/>
                <w:vertAlign w:val="superscript"/>
                <w:lang w:eastAsia="fr-FR"/>
              </w:rPr>
              <w:footnoteReference w:id="5"/>
            </w:r>
          </w:p>
        </w:tc>
        <w:tc>
          <w:tcPr>
            <w:tcW w:w="1113"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Contrôles continus</w:t>
            </w:r>
            <w:r w:rsidRPr="00C227AD">
              <w:rPr>
                <w:rFonts w:asciiTheme="minorHAnsi" w:eastAsia="Times New Roman" w:hAnsiTheme="minorHAnsi" w:cs="Times New Roman"/>
                <w:i/>
                <w:vertAlign w:val="superscript"/>
                <w:lang w:eastAsia="fr-FR"/>
              </w:rPr>
              <w:footnoteReference w:id="6"/>
            </w:r>
          </w:p>
        </w:tc>
        <w:tc>
          <w:tcPr>
            <w:tcW w:w="1080"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EFCF</w:t>
            </w:r>
            <w:r w:rsidRPr="00C227AD">
              <w:rPr>
                <w:rFonts w:asciiTheme="minorHAnsi" w:eastAsia="Times New Roman" w:hAnsiTheme="minorHAnsi" w:cs="Times New Roman"/>
                <w:i/>
                <w:vertAlign w:val="superscript"/>
                <w:lang w:eastAsia="fr-FR"/>
              </w:rPr>
              <w:footnoteReference w:id="7"/>
            </w:r>
          </w:p>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Théorique</w:t>
            </w:r>
          </w:p>
        </w:tc>
        <w:tc>
          <w:tcPr>
            <w:tcW w:w="1080"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EFCF</w:t>
            </w:r>
            <w:r w:rsidRPr="00C227AD">
              <w:rPr>
                <w:rFonts w:asciiTheme="minorHAnsi" w:eastAsia="Times New Roman" w:hAnsiTheme="minorHAnsi" w:cs="Times New Roman"/>
                <w:i/>
                <w:vertAlign w:val="superscript"/>
                <w:lang w:eastAsia="fr-FR"/>
              </w:rPr>
              <w:footnoteReference w:id="8"/>
            </w:r>
          </w:p>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Pratique</w:t>
            </w:r>
          </w:p>
        </w:tc>
        <w:tc>
          <w:tcPr>
            <w:tcW w:w="4239" w:type="dxa"/>
            <w:gridSpan w:val="4"/>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Observations / Commentaires</w:t>
            </w:r>
          </w:p>
        </w:tc>
      </w:tr>
      <w:tr w:rsidR="00CA6FD2" w:rsidRPr="00C227AD" w:rsidTr="00C227AD">
        <w:trPr>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1. 1</w:t>
            </w:r>
          </w:p>
        </w:tc>
        <w:tc>
          <w:tcPr>
            <w:tcW w:w="567"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1.1</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227AD" w:rsidRDefault="00CA6FD2" w:rsidP="00CA6FD2">
            <w:pPr>
              <w:spacing w:before="0" w:after="0" w:line="240" w:lineRule="auto"/>
              <w:jc w:val="center"/>
              <w:rPr>
                <w:rFonts w:asciiTheme="minorHAnsi" w:eastAsia="Times New Roman" w:hAnsiTheme="minorHAnsi" w:cs="Times New Roman"/>
                <w:i/>
                <w:color w:val="999999"/>
                <w:lang w:eastAsia="fr-FR"/>
              </w:rPr>
            </w:pPr>
            <w:r w:rsidRPr="00C227AD">
              <w:rPr>
                <w:rFonts w:asciiTheme="minorHAnsi" w:eastAsia="Times New Roman" w:hAnsiTheme="minorHAnsi" w:cs="Times New Roman"/>
                <w:bCs/>
                <w:i/>
                <w:color w:val="999999"/>
                <w:lang w:eastAsia="fr-FR"/>
              </w:rPr>
              <w:t>.  .  .  .  .  .  .  .  .  .  .  .  .  .  .  .  .  .  .  .  .  .  .  .  .  .  .</w:t>
            </w:r>
          </w:p>
        </w:tc>
      </w:tr>
      <w:tr w:rsidR="00CA6FD2" w:rsidRPr="00C227AD" w:rsidTr="00C227AD">
        <w:trPr>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1. 2</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1.2</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227AD" w:rsidRDefault="00CA6FD2" w:rsidP="00CA6FD2">
            <w:pPr>
              <w:spacing w:before="0" w:after="0" w:line="240" w:lineRule="auto"/>
              <w:jc w:val="center"/>
              <w:rPr>
                <w:rFonts w:asciiTheme="minorHAnsi" w:eastAsia="Times New Roman" w:hAnsiTheme="minorHAnsi" w:cs="Times New Roman"/>
                <w:i/>
                <w:color w:val="999999"/>
                <w:lang w:eastAsia="fr-FR"/>
              </w:rPr>
            </w:pPr>
            <w:r w:rsidRPr="00C227AD">
              <w:rPr>
                <w:rFonts w:asciiTheme="minorHAnsi" w:eastAsia="Times New Roman" w:hAnsiTheme="minorHAnsi" w:cs="Times New Roman"/>
                <w:bCs/>
                <w:i/>
                <w:color w:val="999999"/>
                <w:lang w:eastAsia="fr-FR"/>
              </w:rPr>
              <w:t>.  .  .  .  .  .  .  .  .  .  .  .  .  .  .  .  .  .  .  .  .  .  .  .  .  .  .</w:t>
            </w:r>
          </w:p>
        </w:tc>
      </w:tr>
      <w:tr w:rsidR="00CA6FD2" w:rsidRPr="00C227AD" w:rsidTr="00C227AD">
        <w:trPr>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1. 3</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1.3</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227AD" w:rsidRDefault="00CA6FD2" w:rsidP="00CA6FD2">
            <w:pPr>
              <w:spacing w:before="0" w:after="0" w:line="240" w:lineRule="auto"/>
              <w:jc w:val="center"/>
              <w:rPr>
                <w:rFonts w:asciiTheme="minorHAnsi" w:eastAsia="Times New Roman" w:hAnsiTheme="minorHAnsi" w:cs="Times New Roman"/>
                <w:i/>
                <w:color w:val="999999"/>
                <w:lang w:eastAsia="fr-FR"/>
              </w:rPr>
            </w:pPr>
            <w:r w:rsidRPr="00C227AD">
              <w:rPr>
                <w:rFonts w:asciiTheme="minorHAnsi" w:eastAsia="Times New Roman" w:hAnsiTheme="minorHAnsi" w:cs="Times New Roman"/>
                <w:bCs/>
                <w:i/>
                <w:color w:val="999999"/>
                <w:lang w:eastAsia="fr-FR"/>
              </w:rPr>
              <w:t>.  .  .  .  .  .  .  .  .  .  .  .  .  .  .  .  .  .  .  .  .  .  .  .  .  .  .</w:t>
            </w:r>
          </w:p>
        </w:tc>
      </w:tr>
      <w:tr w:rsidR="00CA6FD2" w:rsidRPr="00C227AD" w:rsidTr="00C227AD">
        <w:trPr>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1. 4</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1.4</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227AD" w:rsidRDefault="00CA6FD2" w:rsidP="00CA6FD2">
            <w:pPr>
              <w:spacing w:before="0" w:after="0" w:line="240" w:lineRule="auto"/>
              <w:jc w:val="center"/>
              <w:rPr>
                <w:rFonts w:asciiTheme="minorHAnsi" w:eastAsia="Times New Roman" w:hAnsiTheme="minorHAnsi" w:cs="Times New Roman"/>
                <w:i/>
                <w:color w:val="999999"/>
                <w:lang w:eastAsia="fr-FR"/>
              </w:rPr>
            </w:pPr>
            <w:r w:rsidRPr="00C227AD">
              <w:rPr>
                <w:rFonts w:asciiTheme="minorHAnsi" w:eastAsia="Times New Roman" w:hAnsiTheme="minorHAnsi" w:cs="Times New Roman"/>
                <w:bCs/>
                <w:i/>
                <w:color w:val="999999"/>
                <w:lang w:eastAsia="fr-FR"/>
              </w:rPr>
              <w:t>.  .  .  .  .  .  .  .  .  .  .  .  .  .  .  .  .  .  .  .  .  .  .  .  .  .  .</w:t>
            </w:r>
          </w:p>
        </w:tc>
      </w:tr>
      <w:tr w:rsidR="00CA6FD2" w:rsidRPr="00C227AD" w:rsidTr="00C227AD">
        <w:trPr>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227AD" w:rsidRDefault="00CA6FD2" w:rsidP="00CA6FD2">
            <w:pPr>
              <w:spacing w:before="0" w:after="0" w:line="240" w:lineRule="auto"/>
              <w:jc w:val="center"/>
              <w:rPr>
                <w:rFonts w:asciiTheme="minorHAnsi" w:eastAsia="Times New Roman" w:hAnsiTheme="minorHAnsi" w:cs="Times New Roman"/>
                <w:i/>
                <w:color w:val="999999"/>
                <w:lang w:eastAsia="fr-FR"/>
              </w:rPr>
            </w:pPr>
            <w:r w:rsidRPr="00C227AD">
              <w:rPr>
                <w:rFonts w:asciiTheme="minorHAnsi" w:eastAsia="Times New Roman" w:hAnsiTheme="minorHAnsi" w:cs="Times New Roman"/>
                <w:bCs/>
                <w:i/>
                <w:color w:val="999999"/>
                <w:lang w:eastAsia="fr-FR"/>
              </w:rPr>
              <w:t>.  .  .  .  .  .  .  .  .  .  .  .  .  .  .  .  .  .  .  .  .  .  .  .  .  .  .</w:t>
            </w:r>
          </w:p>
        </w:tc>
      </w:tr>
      <w:tr w:rsidR="00CA6FD2" w:rsidRPr="00C227AD" w:rsidTr="00C227AD">
        <w:trPr>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1. n</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1.n</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227AD" w:rsidRDefault="00CA6FD2" w:rsidP="00CA6FD2">
            <w:pPr>
              <w:spacing w:before="0" w:after="0" w:line="240" w:lineRule="auto"/>
              <w:jc w:val="center"/>
              <w:rPr>
                <w:rFonts w:asciiTheme="minorHAnsi" w:eastAsia="Times New Roman" w:hAnsiTheme="minorHAnsi" w:cs="Times New Roman"/>
                <w:i/>
                <w:color w:val="999999"/>
                <w:lang w:eastAsia="fr-FR"/>
              </w:rPr>
            </w:pPr>
            <w:r w:rsidRPr="00C227AD">
              <w:rPr>
                <w:rFonts w:asciiTheme="minorHAnsi" w:eastAsia="Times New Roman" w:hAnsiTheme="minorHAnsi" w:cs="Times New Roman"/>
                <w:bCs/>
                <w:i/>
                <w:color w:val="999999"/>
                <w:lang w:eastAsia="fr-FR"/>
              </w:rPr>
              <w:t>.  .  .  .  .  .  .  .  .  .  .  .  .  .  .  .  .  .  .  .  .  .  .  .  .  .  .</w:t>
            </w:r>
          </w:p>
        </w:tc>
      </w:tr>
      <w:tr w:rsidR="00CA6FD2" w:rsidRPr="00C227AD" w:rsidTr="00C227AD">
        <w:trPr>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Stages en</w:t>
            </w:r>
            <w:r w:rsidRPr="00C227AD">
              <w:rPr>
                <w:rFonts w:asciiTheme="minorHAnsi" w:eastAsia="Times New Roman" w:hAnsiTheme="minorHAnsi" w:cs="Times New Roman"/>
                <w:i/>
                <w:vertAlign w:val="superscript"/>
                <w:lang w:eastAsia="fr-FR"/>
              </w:rPr>
              <w:footnoteReference w:id="9"/>
            </w:r>
          </w:p>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Entreprises</w:t>
            </w:r>
          </w:p>
        </w:tc>
        <w:tc>
          <w:tcPr>
            <w:tcW w:w="567"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1.s</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227AD" w:rsidRDefault="00CA6FD2" w:rsidP="00CA6FD2">
            <w:pPr>
              <w:spacing w:before="0" w:after="0" w:line="240" w:lineRule="auto"/>
              <w:jc w:val="center"/>
              <w:rPr>
                <w:rFonts w:asciiTheme="minorHAnsi" w:eastAsia="Times New Roman" w:hAnsiTheme="minorHAnsi" w:cs="Times New Roman"/>
                <w:i/>
                <w:color w:val="999999"/>
                <w:lang w:eastAsia="fr-FR"/>
              </w:rPr>
            </w:pPr>
            <w:r w:rsidRPr="00C227AD">
              <w:rPr>
                <w:rFonts w:asciiTheme="minorHAnsi" w:eastAsia="Times New Roman" w:hAnsiTheme="minorHAnsi" w:cs="Times New Roman"/>
                <w:bCs/>
                <w:i/>
                <w:color w:val="999999"/>
                <w:lang w:eastAsia="fr-FR"/>
              </w:rPr>
              <w:t>.  .  .  .  .  .  .  .  .  .  .  .  .  .  .  .  .  .  .  .  .  .  .  .  .  .  .</w:t>
            </w:r>
          </w:p>
        </w:tc>
      </w:tr>
      <w:tr w:rsidR="00CA6FD2" w:rsidRPr="00C227AD" w:rsidTr="00C227AD">
        <w:trPr>
          <w:cantSplit/>
        </w:trPr>
        <w:tc>
          <w:tcPr>
            <w:tcW w:w="9709" w:type="dxa"/>
            <w:gridSpan w:val="9"/>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r>
      <w:tr w:rsidR="00CA6FD2" w:rsidRPr="00C227AD" w:rsidTr="00C227AD">
        <w:trPr>
          <w:cantSplit/>
          <w:trHeight w:val="233"/>
        </w:trPr>
        <w:tc>
          <w:tcPr>
            <w:tcW w:w="2197" w:type="dxa"/>
            <w:gridSpan w:val="2"/>
            <w:vMerge w:val="restart"/>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r w:rsidRPr="00C227AD">
              <w:rPr>
                <w:rFonts w:asciiTheme="minorHAnsi" w:eastAsia="Times New Roman" w:hAnsiTheme="minorHAnsi" w:cs="Times New Roman"/>
                <w:b/>
                <w:bCs/>
                <w:i/>
                <w:lang w:eastAsia="fr-FR"/>
              </w:rPr>
              <w:t>Moyenne des notes</w:t>
            </w:r>
          </w:p>
        </w:tc>
        <w:tc>
          <w:tcPr>
            <w:tcW w:w="1113" w:type="dxa"/>
            <w:vMerge w:val="restart"/>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r w:rsidRPr="00C227AD">
              <w:rPr>
                <w:rFonts w:asciiTheme="minorHAnsi" w:eastAsia="Times New Roman" w:hAnsiTheme="minorHAnsi" w:cs="Times New Roman"/>
                <w:b/>
                <w:bCs/>
                <w:i/>
                <w:lang w:eastAsia="fr-FR"/>
              </w:rPr>
              <w:t>MCC1</w:t>
            </w:r>
          </w:p>
        </w:tc>
        <w:tc>
          <w:tcPr>
            <w:tcW w:w="1080" w:type="dxa"/>
            <w:vMerge w:val="restart"/>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r w:rsidRPr="00C227AD">
              <w:rPr>
                <w:rFonts w:asciiTheme="minorHAnsi" w:eastAsia="Times New Roman" w:hAnsiTheme="minorHAnsi" w:cs="Times New Roman"/>
                <w:b/>
                <w:bCs/>
                <w:i/>
                <w:lang w:eastAsia="fr-FR"/>
              </w:rPr>
              <w:t>MEFCFT1</w:t>
            </w:r>
          </w:p>
        </w:tc>
        <w:tc>
          <w:tcPr>
            <w:tcW w:w="1080" w:type="dxa"/>
            <w:vMerge w:val="restart"/>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r w:rsidRPr="00C227AD">
              <w:rPr>
                <w:rFonts w:asciiTheme="minorHAnsi" w:eastAsia="Times New Roman" w:hAnsiTheme="minorHAnsi" w:cs="Times New Roman"/>
                <w:b/>
                <w:bCs/>
                <w:i/>
                <w:lang w:eastAsia="fr-FR"/>
              </w:rPr>
              <w:t>MEFCFP1</w:t>
            </w:r>
          </w:p>
        </w:tc>
        <w:tc>
          <w:tcPr>
            <w:tcW w:w="1080" w:type="dxa"/>
            <w:vMerge w:val="restart"/>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r w:rsidRPr="00C227AD">
              <w:rPr>
                <w:rFonts w:asciiTheme="minorHAnsi" w:eastAsia="Times New Roman" w:hAnsiTheme="minorHAnsi" w:cs="Times New Roman"/>
                <w:b/>
                <w:i/>
                <w:lang w:eastAsia="fr-FR"/>
              </w:rPr>
              <w:t>Moyenne</w:t>
            </w:r>
          </w:p>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r w:rsidRPr="00C227AD">
              <w:rPr>
                <w:rFonts w:asciiTheme="minorHAnsi" w:eastAsia="Times New Roman" w:hAnsiTheme="minorHAnsi" w:cs="Times New Roman"/>
                <w:b/>
                <w:i/>
                <w:lang w:eastAsia="fr-FR"/>
              </w:rPr>
              <w:t>Pondérée</w:t>
            </w:r>
          </w:p>
        </w:tc>
        <w:tc>
          <w:tcPr>
            <w:tcW w:w="3159" w:type="dxa"/>
            <w:gridSpan w:val="3"/>
            <w:tcBorders>
              <w:bottom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r w:rsidRPr="00C227AD">
              <w:rPr>
                <w:rFonts w:asciiTheme="minorHAnsi" w:eastAsia="Times New Roman" w:hAnsiTheme="minorHAnsi" w:cs="Times New Roman"/>
                <w:b/>
                <w:i/>
                <w:lang w:eastAsia="fr-FR"/>
              </w:rPr>
              <w:t xml:space="preserve">(MCC1 x3 + </w:t>
            </w:r>
            <w:r w:rsidRPr="00C227AD">
              <w:rPr>
                <w:rFonts w:asciiTheme="minorHAnsi" w:eastAsia="Times New Roman" w:hAnsiTheme="minorHAnsi" w:cs="Times New Roman"/>
                <w:b/>
                <w:bCs/>
                <w:i/>
                <w:lang w:eastAsia="fr-FR"/>
              </w:rPr>
              <w:t>MEFCFT1x 2 + MEFCFP1x 3)</w:t>
            </w:r>
          </w:p>
        </w:tc>
      </w:tr>
      <w:tr w:rsidR="00CA6FD2" w:rsidRPr="00C227AD" w:rsidTr="00C227AD">
        <w:trPr>
          <w:cantSplit/>
          <w:trHeight w:val="232"/>
        </w:trPr>
        <w:tc>
          <w:tcPr>
            <w:tcW w:w="2197" w:type="dxa"/>
            <w:gridSpan w:val="2"/>
            <w:vMerge/>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p>
        </w:tc>
        <w:tc>
          <w:tcPr>
            <w:tcW w:w="1113" w:type="dxa"/>
            <w:vMerge/>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p>
        </w:tc>
        <w:tc>
          <w:tcPr>
            <w:tcW w:w="1080" w:type="dxa"/>
            <w:vMerge/>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p>
        </w:tc>
        <w:tc>
          <w:tcPr>
            <w:tcW w:w="1080" w:type="dxa"/>
            <w:vMerge/>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p>
        </w:tc>
        <w:tc>
          <w:tcPr>
            <w:tcW w:w="1080" w:type="dxa"/>
            <w:vMerge/>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p>
        </w:tc>
        <w:tc>
          <w:tcPr>
            <w:tcW w:w="360" w:type="dxa"/>
            <w:tcBorders>
              <w:top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p>
        </w:tc>
        <w:tc>
          <w:tcPr>
            <w:tcW w:w="2340" w:type="dxa"/>
            <w:tcBorders>
              <w:top w:val="single" w:sz="4" w:space="0" w:color="auto"/>
              <w:left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r w:rsidRPr="00C227AD">
              <w:rPr>
                <w:rFonts w:asciiTheme="minorHAnsi" w:eastAsia="Times New Roman" w:hAnsiTheme="minorHAnsi" w:cs="Times New Roman"/>
                <w:b/>
                <w:i/>
                <w:lang w:eastAsia="fr-FR"/>
              </w:rPr>
              <w:t>8</w:t>
            </w:r>
          </w:p>
        </w:tc>
        <w:tc>
          <w:tcPr>
            <w:tcW w:w="459" w:type="dxa"/>
            <w:tcBorders>
              <w:top w:val="nil"/>
              <w:lef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p>
        </w:tc>
      </w:tr>
      <w:tr w:rsidR="00CA6FD2" w:rsidRPr="00C227AD" w:rsidTr="00C227AD">
        <w:trPr>
          <w:cantSplit/>
        </w:trPr>
        <w:tc>
          <w:tcPr>
            <w:tcW w:w="9709" w:type="dxa"/>
            <w:gridSpan w:val="9"/>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r>
      <w:tr w:rsidR="00CA6FD2" w:rsidRPr="00C227AD" w:rsidTr="00C227AD">
        <w:trPr>
          <w:cantSplit/>
        </w:trPr>
        <w:tc>
          <w:tcPr>
            <w:tcW w:w="3310" w:type="dxa"/>
            <w:gridSpan w:val="3"/>
            <w:shd w:val="clear" w:color="auto" w:fill="D9D9D9"/>
            <w:vAlign w:val="center"/>
          </w:tcPr>
          <w:p w:rsidR="00CA6FD2" w:rsidRPr="00C227AD" w:rsidRDefault="00CA6FD2" w:rsidP="00CA6FD2">
            <w:pPr>
              <w:spacing w:before="0" w:after="0" w:line="240" w:lineRule="auto"/>
              <w:ind w:left="142"/>
              <w:jc w:val="center"/>
              <w:rPr>
                <w:rFonts w:asciiTheme="minorHAnsi" w:eastAsia="Times New Roman" w:hAnsiTheme="minorHAnsi" w:cs="Times New Roman"/>
                <w:b/>
                <w:i/>
                <w:lang w:eastAsia="fr-FR"/>
              </w:rPr>
            </w:pPr>
            <w:r w:rsidRPr="00C227AD">
              <w:rPr>
                <w:rFonts w:asciiTheme="minorHAnsi" w:eastAsia="Times New Roman" w:hAnsiTheme="minorHAnsi" w:cs="Times New Roman"/>
                <w:b/>
                <w:i/>
                <w:lang w:eastAsia="fr-FR"/>
              </w:rPr>
              <w:t>Décision / Commentaires :</w:t>
            </w:r>
          </w:p>
        </w:tc>
        <w:tc>
          <w:tcPr>
            <w:tcW w:w="6399" w:type="dxa"/>
            <w:gridSpan w:val="6"/>
            <w:vAlign w:val="center"/>
          </w:tcPr>
          <w:p w:rsidR="00CA6FD2" w:rsidRPr="00C227AD" w:rsidRDefault="00CA6FD2" w:rsidP="00CA6FD2">
            <w:pPr>
              <w:spacing w:before="0" w:after="0" w:line="240" w:lineRule="auto"/>
              <w:jc w:val="center"/>
              <w:rPr>
                <w:rFonts w:asciiTheme="minorHAnsi" w:eastAsia="Times New Roman" w:hAnsiTheme="minorHAnsi" w:cs="Times New Roman"/>
                <w:b/>
                <w:i/>
                <w:color w:val="999999"/>
                <w:lang w:eastAsia="fr-FR"/>
              </w:rPr>
            </w:pPr>
            <w:r w:rsidRPr="00C227AD">
              <w:rPr>
                <w:rFonts w:asciiTheme="minorHAnsi" w:eastAsia="Times New Roman" w:hAnsiTheme="minorHAnsi" w:cs="Times New Roman"/>
                <w:b/>
                <w:i/>
                <w:color w:val="999999"/>
                <w:lang w:eastAsia="fr-FR"/>
              </w:rPr>
              <w:t xml:space="preserve">.  .  .  .  .  .  .  .  .  .  .  .  .  .  .  .  .  . .  .  .  .  .  .  .  .  .  </w:t>
            </w:r>
          </w:p>
        </w:tc>
      </w:tr>
    </w:tbl>
    <w:p w:rsidR="00CA6FD2" w:rsidRPr="00C227AD" w:rsidRDefault="00CA6FD2" w:rsidP="00CA6FD2">
      <w:pPr>
        <w:spacing w:before="0" w:after="0" w:line="240" w:lineRule="auto"/>
        <w:rPr>
          <w:rFonts w:asciiTheme="minorHAnsi" w:eastAsia="Times New Roman" w:hAnsiTheme="minorHAnsi" w:cs="Times New Roman"/>
          <w:bCs/>
          <w:i/>
          <w:sz w:val="21"/>
          <w:szCs w:val="21"/>
          <w:lang w:eastAsia="fr-FR"/>
        </w:rPr>
      </w:pPr>
      <w:r w:rsidRPr="00C227AD">
        <w:rPr>
          <w:rFonts w:asciiTheme="minorHAnsi" w:eastAsia="Times New Roman" w:hAnsiTheme="minorHAnsi" w:cs="Times New Roman"/>
          <w:bCs/>
          <w:i/>
          <w:sz w:val="21"/>
          <w:szCs w:val="21"/>
          <w:lang w:eastAsia="fr-FR"/>
        </w:rPr>
        <w:t>Toutes les notes sont calculées sur une échelle de 20.</w:t>
      </w:r>
    </w:p>
    <w:p w:rsidR="00CA6FD2" w:rsidRPr="00C227AD" w:rsidRDefault="00CA6FD2" w:rsidP="00CA6FD2">
      <w:pPr>
        <w:spacing w:before="0" w:after="0" w:line="240" w:lineRule="auto"/>
        <w:jc w:val="both"/>
        <w:rPr>
          <w:rFonts w:asciiTheme="minorHAnsi" w:eastAsia="Times New Roman" w:hAnsiTheme="minorHAnsi" w:cs="Times New Roman"/>
          <w:bCs/>
          <w:i/>
          <w:sz w:val="21"/>
          <w:szCs w:val="21"/>
          <w:lang w:eastAsia="fr-FR"/>
        </w:rPr>
      </w:pPr>
      <w:r w:rsidRPr="00C227AD">
        <w:rPr>
          <w:rFonts w:asciiTheme="minorHAnsi" w:eastAsia="Times New Roman" w:hAnsiTheme="minorHAnsi" w:cs="Times New Roman"/>
          <w:bCs/>
          <w:i/>
          <w:sz w:val="21"/>
          <w:szCs w:val="21"/>
          <w:lang w:eastAsia="fr-FR"/>
        </w:rPr>
        <w:t>La moyenne générale de la première année représente la moyenne pondérée qui constitue seulement le seuil minimal de passage en deuxième année qui doit être ≥ 10/20. Si cette moyenne est comprise entre 08/20 et 10/20, le jury d’examens examine la situation des stagiaires concernés et propose au Secrétariat d’Etat chargé de la Formation Professionnelle, les propositions pour :</w:t>
      </w:r>
    </w:p>
    <w:p w:rsidR="00CA6FD2" w:rsidRPr="00C227AD" w:rsidRDefault="00CA6FD2" w:rsidP="00CA6FD2">
      <w:pPr>
        <w:numPr>
          <w:ilvl w:val="0"/>
          <w:numId w:val="17"/>
        </w:numPr>
        <w:spacing w:before="0" w:after="0" w:line="240" w:lineRule="auto"/>
        <w:ind w:left="360"/>
        <w:jc w:val="both"/>
        <w:rPr>
          <w:rFonts w:asciiTheme="minorHAnsi" w:eastAsia="Times New Roman" w:hAnsiTheme="minorHAnsi" w:cs="Times New Roman"/>
          <w:bCs/>
          <w:i/>
          <w:sz w:val="21"/>
          <w:szCs w:val="21"/>
          <w:lang w:eastAsia="fr-FR"/>
        </w:rPr>
      </w:pPr>
      <w:r w:rsidRPr="00C227AD">
        <w:rPr>
          <w:rFonts w:asciiTheme="minorHAnsi" w:eastAsia="Times New Roman" w:hAnsiTheme="minorHAnsi" w:cs="Times New Roman"/>
          <w:bCs/>
          <w:i/>
          <w:sz w:val="21"/>
          <w:szCs w:val="21"/>
          <w:lang w:eastAsia="fr-FR"/>
        </w:rPr>
        <w:t>soit permettre au stagiaire de passer en deuxième année (rachat) ;</w:t>
      </w:r>
    </w:p>
    <w:p w:rsidR="00CA6FD2" w:rsidRPr="00C227AD" w:rsidRDefault="00CA6FD2" w:rsidP="00CA6FD2">
      <w:pPr>
        <w:numPr>
          <w:ilvl w:val="0"/>
          <w:numId w:val="17"/>
        </w:numPr>
        <w:spacing w:before="0" w:after="0" w:line="240" w:lineRule="auto"/>
        <w:ind w:left="360"/>
        <w:jc w:val="both"/>
        <w:rPr>
          <w:rFonts w:asciiTheme="minorHAnsi" w:eastAsia="Times New Roman" w:hAnsiTheme="minorHAnsi" w:cs="Times New Roman"/>
          <w:bCs/>
          <w:i/>
          <w:sz w:val="21"/>
          <w:szCs w:val="21"/>
          <w:lang w:eastAsia="fr-FR"/>
        </w:rPr>
      </w:pPr>
      <w:r w:rsidRPr="00C227AD">
        <w:rPr>
          <w:rFonts w:asciiTheme="minorHAnsi" w:eastAsia="Times New Roman" w:hAnsiTheme="minorHAnsi" w:cs="Times New Roman"/>
          <w:bCs/>
          <w:i/>
          <w:sz w:val="21"/>
          <w:szCs w:val="21"/>
          <w:lang w:eastAsia="fr-FR"/>
        </w:rPr>
        <w:t>soit autoriser le stagiaire à redoubler (une seule fois durant la durée de la filière de formation) ;</w:t>
      </w:r>
    </w:p>
    <w:p w:rsidR="00CA6FD2" w:rsidRPr="00C227AD" w:rsidRDefault="00CA6FD2" w:rsidP="00CA6FD2">
      <w:pPr>
        <w:numPr>
          <w:ilvl w:val="0"/>
          <w:numId w:val="17"/>
        </w:numPr>
        <w:spacing w:before="0" w:after="0" w:line="240" w:lineRule="auto"/>
        <w:ind w:left="360"/>
        <w:jc w:val="both"/>
        <w:rPr>
          <w:rFonts w:asciiTheme="minorHAnsi" w:eastAsia="Times New Roman" w:hAnsiTheme="minorHAnsi" w:cs="Times New Roman"/>
          <w:bCs/>
          <w:i/>
          <w:sz w:val="21"/>
          <w:szCs w:val="21"/>
          <w:lang w:eastAsia="fr-FR"/>
        </w:rPr>
      </w:pPr>
      <w:r w:rsidRPr="00C227AD">
        <w:rPr>
          <w:rFonts w:asciiTheme="minorHAnsi" w:eastAsia="Times New Roman" w:hAnsiTheme="minorHAnsi" w:cs="Times New Roman"/>
          <w:bCs/>
          <w:i/>
          <w:sz w:val="21"/>
          <w:szCs w:val="21"/>
          <w:lang w:eastAsia="fr-FR"/>
        </w:rPr>
        <w:t>soit réorienter le stagiaire vers une nouvelle filière (exclusivement en première année).</w:t>
      </w:r>
    </w:p>
    <w:p w:rsidR="00CA6FD2" w:rsidRPr="00C227AD" w:rsidRDefault="00CA6FD2" w:rsidP="00CA6FD2">
      <w:pPr>
        <w:spacing w:before="0" w:after="0" w:line="240" w:lineRule="auto"/>
        <w:jc w:val="both"/>
        <w:rPr>
          <w:rFonts w:asciiTheme="minorHAnsi" w:eastAsia="Times New Roman" w:hAnsiTheme="minorHAnsi" w:cs="Times New Roman"/>
          <w:bCs/>
          <w:i/>
          <w:sz w:val="21"/>
          <w:szCs w:val="21"/>
          <w:lang w:eastAsia="fr-FR"/>
        </w:rPr>
      </w:pPr>
      <w:r w:rsidRPr="00C227AD">
        <w:rPr>
          <w:rFonts w:asciiTheme="minorHAnsi" w:eastAsia="Times New Roman" w:hAnsiTheme="minorHAnsi" w:cs="Times New Roman"/>
          <w:bCs/>
          <w:i/>
          <w:sz w:val="21"/>
          <w:szCs w:val="21"/>
          <w:lang w:eastAsia="fr-FR"/>
        </w:rPr>
        <w:t>Si cette moyenne est inférieure à 08/20, le stagiaire peut être exceptionnellement déclaré redoublant (une seule fois durant la durée de la filière de formation).</w:t>
      </w:r>
    </w:p>
    <w:p w:rsidR="00CA6FD2" w:rsidRPr="00C227AD" w:rsidRDefault="00CA6FD2" w:rsidP="00CA6FD2">
      <w:pPr>
        <w:pBdr>
          <w:bottom w:val="single" w:sz="4" w:space="1" w:color="auto"/>
        </w:pBdr>
        <w:spacing w:before="0" w:after="0" w:line="120" w:lineRule="exact"/>
        <w:ind w:right="-82"/>
        <w:jc w:val="both"/>
        <w:rPr>
          <w:rFonts w:asciiTheme="minorHAnsi" w:eastAsia="Times New Roman" w:hAnsiTheme="minorHAnsi" w:cs="Times New Roman"/>
          <w:bCs/>
          <w:i/>
          <w:sz w:val="21"/>
          <w:szCs w:val="21"/>
          <w:lang w:eastAsia="fr-FR"/>
        </w:rPr>
      </w:pPr>
    </w:p>
    <w:p w:rsidR="00CA6FD2" w:rsidRPr="00C227AD" w:rsidRDefault="00CA6FD2" w:rsidP="00CA6FD2">
      <w:pPr>
        <w:spacing w:before="0" w:after="0" w:line="120" w:lineRule="exact"/>
        <w:jc w:val="both"/>
        <w:rPr>
          <w:rFonts w:asciiTheme="minorHAnsi" w:eastAsia="Times New Roman" w:hAnsiTheme="minorHAnsi" w:cs="Times New Roman"/>
          <w:bCs/>
          <w:i/>
          <w:smallCaps/>
          <w:sz w:val="21"/>
          <w:szCs w:val="21"/>
          <w:lang w:eastAsia="fr-FR"/>
        </w:rPr>
      </w:pPr>
    </w:p>
    <w:p w:rsidR="00CA6FD2" w:rsidRPr="00C227AD" w:rsidRDefault="00CA6FD2" w:rsidP="00CA6FD2">
      <w:pPr>
        <w:spacing w:before="0" w:after="0" w:line="240" w:lineRule="auto"/>
        <w:jc w:val="center"/>
        <w:rPr>
          <w:rFonts w:asciiTheme="minorHAnsi" w:eastAsia="Times New Roman" w:hAnsiTheme="minorHAnsi" w:cs="Times New Roman"/>
          <w:b/>
          <w:bCs/>
          <w:i/>
          <w:smallCaps/>
          <w:sz w:val="21"/>
          <w:szCs w:val="21"/>
          <w:lang w:eastAsia="fr-FR"/>
        </w:rPr>
      </w:pPr>
      <w:r w:rsidRPr="00C227AD">
        <w:rPr>
          <w:rFonts w:asciiTheme="minorHAnsi" w:eastAsia="Times New Roman" w:hAnsiTheme="minorHAnsi" w:cs="Times New Roman"/>
          <w:b/>
          <w:bCs/>
          <w:i/>
          <w:smallCaps/>
          <w:sz w:val="21"/>
          <w:szCs w:val="21"/>
          <w:lang w:eastAsia="fr-FR"/>
        </w:rPr>
        <w:t>Système d’évaluation en 2ème année de formation</w:t>
      </w:r>
    </w:p>
    <w:p w:rsidR="00CA6FD2" w:rsidRPr="00C227AD" w:rsidRDefault="00CA6FD2" w:rsidP="00CA6FD2">
      <w:pPr>
        <w:spacing w:before="0" w:after="0" w:line="240" w:lineRule="auto"/>
        <w:rPr>
          <w:rFonts w:asciiTheme="minorHAnsi" w:eastAsia="Times New Roman" w:hAnsiTheme="minorHAnsi" w:cs="Times New Roman"/>
          <w:i/>
          <w:smallCaps/>
          <w:sz w:val="21"/>
          <w:szCs w:val="21"/>
          <w:lang w:eastAsia="fr-FR"/>
        </w:rPr>
      </w:pPr>
    </w:p>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630"/>
        <w:gridCol w:w="567"/>
        <w:gridCol w:w="1113"/>
        <w:gridCol w:w="1080"/>
        <w:gridCol w:w="1080"/>
        <w:gridCol w:w="1080"/>
        <w:gridCol w:w="360"/>
        <w:gridCol w:w="2091"/>
        <w:gridCol w:w="141"/>
        <w:gridCol w:w="19"/>
      </w:tblGrid>
      <w:tr w:rsidR="00CA6FD2" w:rsidRPr="00C227AD" w:rsidTr="00760193">
        <w:trPr>
          <w:gridAfter w:val="1"/>
          <w:wAfter w:w="19" w:type="dxa"/>
          <w:cantSplit/>
        </w:trPr>
        <w:tc>
          <w:tcPr>
            <w:tcW w:w="2197" w:type="dxa"/>
            <w:gridSpan w:val="2"/>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 xml:space="preserve">Unités de </w:t>
            </w:r>
            <w:r w:rsidRPr="00C227AD">
              <w:rPr>
                <w:rFonts w:asciiTheme="minorHAnsi" w:eastAsia="Times New Roman" w:hAnsiTheme="minorHAnsi" w:cs="Times New Roman"/>
                <w:i/>
                <w:caps/>
                <w:lang w:eastAsia="fr-FR"/>
              </w:rPr>
              <w:t>f</w:t>
            </w:r>
            <w:r w:rsidRPr="00C227AD">
              <w:rPr>
                <w:rFonts w:asciiTheme="minorHAnsi" w:eastAsia="Times New Roman" w:hAnsiTheme="minorHAnsi" w:cs="Times New Roman"/>
                <w:i/>
                <w:lang w:eastAsia="fr-FR"/>
              </w:rPr>
              <w:t>ormation</w:t>
            </w:r>
          </w:p>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Et Coefficient</w:t>
            </w:r>
          </w:p>
        </w:tc>
        <w:tc>
          <w:tcPr>
            <w:tcW w:w="1113"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Contrôles continus</w:t>
            </w:r>
          </w:p>
        </w:tc>
        <w:tc>
          <w:tcPr>
            <w:tcW w:w="1080"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EFCF</w:t>
            </w:r>
          </w:p>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Théorique</w:t>
            </w:r>
          </w:p>
        </w:tc>
        <w:tc>
          <w:tcPr>
            <w:tcW w:w="1080"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EFCF</w:t>
            </w:r>
          </w:p>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Pratique</w:t>
            </w:r>
          </w:p>
        </w:tc>
        <w:tc>
          <w:tcPr>
            <w:tcW w:w="3672" w:type="dxa"/>
            <w:gridSpan w:val="4"/>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Observations / Commentaires</w:t>
            </w:r>
          </w:p>
        </w:tc>
      </w:tr>
      <w:tr w:rsidR="00CA6FD2" w:rsidRPr="00C227AD" w:rsidTr="00760193">
        <w:trPr>
          <w:gridAfter w:val="1"/>
          <w:wAfter w:w="19" w:type="dxa"/>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2. 1</w:t>
            </w:r>
          </w:p>
        </w:tc>
        <w:tc>
          <w:tcPr>
            <w:tcW w:w="567"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2.1</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vAlign w:val="center"/>
          </w:tcPr>
          <w:p w:rsidR="00CA6FD2" w:rsidRPr="00C227AD" w:rsidRDefault="00CA6FD2" w:rsidP="00760193">
            <w:pPr>
              <w:spacing w:before="0" w:after="0" w:line="240" w:lineRule="auto"/>
              <w:jc w:val="center"/>
              <w:rPr>
                <w:rFonts w:asciiTheme="minorHAnsi" w:eastAsia="Times New Roman" w:hAnsiTheme="minorHAnsi" w:cs="Times New Roman"/>
                <w:i/>
                <w:color w:val="999999"/>
                <w:lang w:eastAsia="fr-FR"/>
              </w:rPr>
            </w:pPr>
            <w:r w:rsidRPr="00C227AD">
              <w:rPr>
                <w:rFonts w:asciiTheme="minorHAnsi" w:eastAsia="Times New Roman" w:hAnsiTheme="minorHAnsi" w:cs="Times New Roman"/>
                <w:bCs/>
                <w:i/>
                <w:color w:val="999999"/>
                <w:lang w:eastAsia="fr-FR"/>
              </w:rPr>
              <w:t>.  .  .  .  .  .  .  .  .  .  .  .  .</w:t>
            </w:r>
            <w:r w:rsidR="00760193" w:rsidRPr="00C227AD">
              <w:rPr>
                <w:rFonts w:asciiTheme="minorHAnsi" w:eastAsia="Times New Roman" w:hAnsiTheme="minorHAnsi" w:cs="Times New Roman"/>
                <w:bCs/>
                <w:i/>
                <w:color w:val="999999"/>
                <w:lang w:eastAsia="fr-FR"/>
              </w:rPr>
              <w:t xml:space="preserve">  .  .  .  .  .  .  .  .  .  .</w:t>
            </w:r>
            <w:r w:rsidRPr="00C227AD">
              <w:rPr>
                <w:rFonts w:asciiTheme="minorHAnsi" w:eastAsia="Times New Roman" w:hAnsiTheme="minorHAnsi" w:cs="Times New Roman"/>
                <w:bCs/>
                <w:i/>
                <w:color w:val="999999"/>
                <w:lang w:eastAsia="fr-FR"/>
              </w:rPr>
              <w:t>.</w:t>
            </w:r>
          </w:p>
        </w:tc>
      </w:tr>
      <w:tr w:rsidR="00CA6FD2" w:rsidRPr="00C227AD" w:rsidTr="00760193">
        <w:trPr>
          <w:gridAfter w:val="1"/>
          <w:wAfter w:w="19" w:type="dxa"/>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2. 2</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2.2</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227AD" w:rsidRDefault="00CA6FD2" w:rsidP="00760193">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bCs/>
                <w:i/>
                <w:color w:val="999999"/>
                <w:lang w:eastAsia="fr-FR"/>
              </w:rPr>
              <w:t xml:space="preserve">.  .  .  .  .  .  .  .  .  .  .  .  .  .  .  .  .  .  .  .  .  .  .  </w:t>
            </w:r>
          </w:p>
        </w:tc>
      </w:tr>
      <w:tr w:rsidR="00CA6FD2" w:rsidRPr="00C227AD" w:rsidTr="00760193">
        <w:trPr>
          <w:gridAfter w:val="1"/>
          <w:wAfter w:w="19" w:type="dxa"/>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2. 3</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2.3</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227AD" w:rsidRDefault="00CA6FD2" w:rsidP="00760193">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bCs/>
                <w:i/>
                <w:color w:val="999999"/>
                <w:lang w:eastAsia="fr-FR"/>
              </w:rPr>
              <w:t xml:space="preserve">.  .  .  .  .  .  .  .  .  .  .  .  .  .  .  .  .  .  .  .  .  .  .  </w:t>
            </w:r>
          </w:p>
        </w:tc>
      </w:tr>
      <w:tr w:rsidR="00CA6FD2" w:rsidRPr="00C227AD" w:rsidTr="00760193">
        <w:trPr>
          <w:gridAfter w:val="1"/>
          <w:wAfter w:w="19" w:type="dxa"/>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2. 4</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2.4</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227AD" w:rsidRDefault="00CA6FD2" w:rsidP="00760193">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bCs/>
                <w:i/>
                <w:color w:val="999999"/>
                <w:lang w:eastAsia="fr-FR"/>
              </w:rPr>
              <w:t xml:space="preserve">.  .  .  .  .  .  .  .  .  .  .  .  .  .  .  .  .  .  .  .  .  .  .  </w:t>
            </w:r>
          </w:p>
        </w:tc>
      </w:tr>
      <w:tr w:rsidR="00CA6FD2" w:rsidRPr="00C227AD" w:rsidTr="00760193">
        <w:trPr>
          <w:gridAfter w:val="1"/>
          <w:wAfter w:w="19" w:type="dxa"/>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227AD" w:rsidRDefault="00CA6FD2" w:rsidP="00760193">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bCs/>
                <w:i/>
                <w:color w:val="999999"/>
                <w:lang w:eastAsia="fr-FR"/>
              </w:rPr>
              <w:t xml:space="preserve">.  .  .  .  .  .  .  .  .  .  .  .  .  .  .  .  .  .  .  .  .  .  .  </w:t>
            </w:r>
          </w:p>
        </w:tc>
      </w:tr>
      <w:tr w:rsidR="00CA6FD2" w:rsidRPr="00C227AD" w:rsidTr="00760193">
        <w:trPr>
          <w:gridAfter w:val="1"/>
          <w:wAfter w:w="19" w:type="dxa"/>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U F  2. n</w:t>
            </w:r>
          </w:p>
        </w:tc>
        <w:tc>
          <w:tcPr>
            <w:tcW w:w="567" w:type="dxa"/>
            <w:shd w:val="clear" w:color="auto" w:fill="D9D9D9"/>
            <w:vAlign w:val="center"/>
          </w:tcPr>
          <w:p w:rsidR="00CA6FD2" w:rsidRPr="00C227AD" w:rsidRDefault="00CA6FD2" w:rsidP="00CA6FD2">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2.n</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227AD" w:rsidRDefault="00CA6FD2" w:rsidP="00760193">
            <w:pPr>
              <w:spacing w:before="0" w:after="0" w:line="240" w:lineRule="auto"/>
              <w:rPr>
                <w:rFonts w:asciiTheme="minorHAnsi" w:eastAsia="Times New Roman" w:hAnsiTheme="minorHAnsi" w:cs="Times New Roman"/>
                <w:i/>
                <w:lang w:eastAsia="fr-FR"/>
              </w:rPr>
            </w:pPr>
            <w:r w:rsidRPr="00C227AD">
              <w:rPr>
                <w:rFonts w:asciiTheme="minorHAnsi" w:eastAsia="Times New Roman" w:hAnsiTheme="minorHAnsi" w:cs="Times New Roman"/>
                <w:bCs/>
                <w:i/>
                <w:color w:val="999999"/>
                <w:lang w:eastAsia="fr-FR"/>
              </w:rPr>
              <w:t xml:space="preserve">.  .  .  .  .  .  .  .  .  .  .  .  .  .  .  .  .  .  .  .  .  .  .  </w:t>
            </w:r>
          </w:p>
        </w:tc>
      </w:tr>
      <w:tr w:rsidR="00CA6FD2" w:rsidRPr="00C227AD" w:rsidTr="00760193">
        <w:trPr>
          <w:gridAfter w:val="1"/>
          <w:wAfter w:w="19" w:type="dxa"/>
          <w:cantSplit/>
        </w:trPr>
        <w:tc>
          <w:tcPr>
            <w:tcW w:w="1630" w:type="dxa"/>
            <w:shd w:val="clear" w:color="auto" w:fill="D9D9D9"/>
            <w:vAlign w:val="center"/>
          </w:tcPr>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Stages en</w:t>
            </w:r>
            <w:r w:rsidRPr="00C227AD">
              <w:rPr>
                <w:rFonts w:asciiTheme="minorHAnsi" w:eastAsia="Times New Roman" w:hAnsiTheme="minorHAnsi" w:cs="Times New Roman"/>
                <w:i/>
                <w:vertAlign w:val="superscript"/>
                <w:lang w:eastAsia="fr-FR"/>
              </w:rPr>
              <w:t>9</w:t>
            </w:r>
          </w:p>
          <w:p w:rsidR="00CA6FD2" w:rsidRPr="00C227AD" w:rsidRDefault="00CA6FD2" w:rsidP="00CA6FD2">
            <w:pPr>
              <w:spacing w:before="0" w:after="0" w:line="240" w:lineRule="auto"/>
              <w:ind w:left="284"/>
              <w:jc w:val="both"/>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Entreprises</w:t>
            </w:r>
          </w:p>
        </w:tc>
        <w:tc>
          <w:tcPr>
            <w:tcW w:w="567"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r w:rsidRPr="00C227AD">
              <w:rPr>
                <w:rFonts w:asciiTheme="minorHAnsi" w:eastAsia="Times New Roman" w:hAnsiTheme="minorHAnsi" w:cs="Times New Roman"/>
                <w:i/>
                <w:lang w:eastAsia="fr-FR"/>
              </w:rPr>
              <w:t>C 2.s</w:t>
            </w:r>
          </w:p>
        </w:tc>
        <w:tc>
          <w:tcPr>
            <w:tcW w:w="1113"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vAlign w:val="center"/>
          </w:tcPr>
          <w:p w:rsidR="00CA6FD2" w:rsidRPr="00C227AD" w:rsidRDefault="00CA6FD2" w:rsidP="00760193">
            <w:pPr>
              <w:spacing w:before="0" w:after="0" w:line="240" w:lineRule="auto"/>
              <w:jc w:val="center"/>
              <w:rPr>
                <w:rFonts w:asciiTheme="minorHAnsi" w:eastAsia="Times New Roman" w:hAnsiTheme="minorHAnsi" w:cs="Times New Roman"/>
                <w:i/>
                <w:color w:val="999999"/>
                <w:lang w:eastAsia="fr-FR"/>
              </w:rPr>
            </w:pPr>
            <w:r w:rsidRPr="00C227AD">
              <w:rPr>
                <w:rFonts w:asciiTheme="minorHAnsi" w:eastAsia="Times New Roman" w:hAnsiTheme="minorHAnsi" w:cs="Times New Roman"/>
                <w:bCs/>
                <w:i/>
                <w:color w:val="999999"/>
                <w:lang w:eastAsia="fr-FR"/>
              </w:rPr>
              <w:t xml:space="preserve">.  .  .  .  .  .  .  .  .  .  .  .  .  .  .  .  .  .  .  .  .  .  .  </w:t>
            </w:r>
          </w:p>
        </w:tc>
      </w:tr>
      <w:tr w:rsidR="00CA6FD2" w:rsidRPr="00C227AD" w:rsidTr="00760193">
        <w:trPr>
          <w:gridAfter w:val="1"/>
          <w:wAfter w:w="19" w:type="dxa"/>
          <w:cantSplit/>
        </w:trPr>
        <w:tc>
          <w:tcPr>
            <w:tcW w:w="9142" w:type="dxa"/>
            <w:gridSpan w:val="9"/>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r>
      <w:tr w:rsidR="00CA6FD2" w:rsidRPr="00C227AD" w:rsidTr="00760193">
        <w:trPr>
          <w:gridAfter w:val="1"/>
          <w:wAfter w:w="19" w:type="dxa"/>
          <w:cantSplit/>
          <w:trHeight w:val="233"/>
        </w:trPr>
        <w:tc>
          <w:tcPr>
            <w:tcW w:w="2197" w:type="dxa"/>
            <w:gridSpan w:val="2"/>
            <w:vMerge w:val="restart"/>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r w:rsidRPr="00C227AD">
              <w:rPr>
                <w:rFonts w:asciiTheme="minorHAnsi" w:eastAsia="Times New Roman" w:hAnsiTheme="minorHAnsi" w:cs="Times New Roman"/>
                <w:b/>
                <w:bCs/>
                <w:i/>
                <w:lang w:eastAsia="fr-FR"/>
              </w:rPr>
              <w:t>Moyenne des notes</w:t>
            </w:r>
          </w:p>
        </w:tc>
        <w:tc>
          <w:tcPr>
            <w:tcW w:w="1113" w:type="dxa"/>
            <w:vMerge w:val="restart"/>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r w:rsidRPr="00C227AD">
              <w:rPr>
                <w:rFonts w:asciiTheme="minorHAnsi" w:eastAsia="Times New Roman" w:hAnsiTheme="minorHAnsi" w:cs="Times New Roman"/>
                <w:b/>
                <w:bCs/>
                <w:i/>
                <w:lang w:eastAsia="fr-FR"/>
              </w:rPr>
              <w:t>MCC2</w:t>
            </w:r>
          </w:p>
        </w:tc>
        <w:tc>
          <w:tcPr>
            <w:tcW w:w="1080" w:type="dxa"/>
            <w:vMerge w:val="restart"/>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r w:rsidRPr="00C227AD">
              <w:rPr>
                <w:rFonts w:asciiTheme="minorHAnsi" w:eastAsia="Times New Roman" w:hAnsiTheme="minorHAnsi" w:cs="Times New Roman"/>
                <w:b/>
                <w:bCs/>
                <w:i/>
                <w:lang w:eastAsia="fr-FR"/>
              </w:rPr>
              <w:t>MEFCFT2</w:t>
            </w:r>
          </w:p>
        </w:tc>
        <w:tc>
          <w:tcPr>
            <w:tcW w:w="1080" w:type="dxa"/>
            <w:vMerge w:val="restart"/>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eastAsia="fr-FR"/>
              </w:rPr>
            </w:pPr>
            <w:r w:rsidRPr="00C227AD">
              <w:rPr>
                <w:rFonts w:asciiTheme="minorHAnsi" w:eastAsia="Times New Roman" w:hAnsiTheme="minorHAnsi" w:cs="Times New Roman"/>
                <w:b/>
                <w:bCs/>
                <w:i/>
                <w:lang w:eastAsia="fr-FR"/>
              </w:rPr>
              <w:t>MEFCFP2</w:t>
            </w:r>
          </w:p>
        </w:tc>
        <w:tc>
          <w:tcPr>
            <w:tcW w:w="1080" w:type="dxa"/>
            <w:vMerge w:val="restart"/>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r w:rsidRPr="00C227AD">
              <w:rPr>
                <w:rFonts w:asciiTheme="minorHAnsi" w:eastAsia="Times New Roman" w:hAnsiTheme="minorHAnsi" w:cs="Times New Roman"/>
                <w:b/>
                <w:i/>
                <w:lang w:eastAsia="fr-FR"/>
              </w:rPr>
              <w:t>Moyenne</w:t>
            </w:r>
          </w:p>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r w:rsidRPr="00C227AD">
              <w:rPr>
                <w:rFonts w:asciiTheme="minorHAnsi" w:eastAsia="Times New Roman" w:hAnsiTheme="minorHAnsi" w:cs="Times New Roman"/>
                <w:b/>
                <w:i/>
                <w:lang w:eastAsia="fr-FR"/>
              </w:rPr>
              <w:t>Pondérée</w:t>
            </w:r>
          </w:p>
        </w:tc>
        <w:tc>
          <w:tcPr>
            <w:tcW w:w="2592" w:type="dxa"/>
            <w:gridSpan w:val="3"/>
            <w:tcBorders>
              <w:bottom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val="en-US" w:eastAsia="fr-FR"/>
              </w:rPr>
            </w:pPr>
            <w:r w:rsidRPr="00C227AD">
              <w:rPr>
                <w:rFonts w:asciiTheme="minorHAnsi" w:eastAsia="Times New Roman" w:hAnsiTheme="minorHAnsi" w:cs="Times New Roman"/>
                <w:b/>
                <w:i/>
                <w:lang w:val="en-US" w:eastAsia="fr-FR"/>
              </w:rPr>
              <w:t xml:space="preserve">(MCC2 x3 + </w:t>
            </w:r>
            <w:r w:rsidRPr="00C227AD">
              <w:rPr>
                <w:rFonts w:asciiTheme="minorHAnsi" w:eastAsia="Times New Roman" w:hAnsiTheme="minorHAnsi" w:cs="Times New Roman"/>
                <w:b/>
                <w:bCs/>
                <w:i/>
                <w:lang w:val="en-US" w:eastAsia="fr-FR"/>
              </w:rPr>
              <w:t>MEFCFT2 x2 + MEFCFP2 x3)</w:t>
            </w:r>
          </w:p>
        </w:tc>
      </w:tr>
      <w:tr w:rsidR="00CA6FD2" w:rsidRPr="00C227AD" w:rsidTr="00760193">
        <w:trPr>
          <w:cantSplit/>
          <w:trHeight w:val="232"/>
        </w:trPr>
        <w:tc>
          <w:tcPr>
            <w:tcW w:w="2197" w:type="dxa"/>
            <w:gridSpan w:val="2"/>
            <w:vMerge/>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val="en-US" w:eastAsia="fr-FR"/>
              </w:rPr>
            </w:pPr>
          </w:p>
        </w:tc>
        <w:tc>
          <w:tcPr>
            <w:tcW w:w="1113" w:type="dxa"/>
            <w:vMerge/>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val="en-US" w:eastAsia="fr-FR"/>
              </w:rPr>
            </w:pPr>
          </w:p>
        </w:tc>
        <w:tc>
          <w:tcPr>
            <w:tcW w:w="1080" w:type="dxa"/>
            <w:vMerge/>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val="en-US" w:eastAsia="fr-FR"/>
              </w:rPr>
            </w:pPr>
          </w:p>
        </w:tc>
        <w:tc>
          <w:tcPr>
            <w:tcW w:w="1080" w:type="dxa"/>
            <w:vMerge/>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lang w:val="en-US" w:eastAsia="fr-FR"/>
              </w:rPr>
            </w:pPr>
          </w:p>
        </w:tc>
        <w:tc>
          <w:tcPr>
            <w:tcW w:w="1080" w:type="dxa"/>
            <w:vMerge/>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val="en-US" w:eastAsia="fr-FR"/>
              </w:rPr>
            </w:pPr>
          </w:p>
        </w:tc>
        <w:tc>
          <w:tcPr>
            <w:tcW w:w="360" w:type="dxa"/>
            <w:tcBorders>
              <w:top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val="en-US" w:eastAsia="fr-FR"/>
              </w:rPr>
            </w:pPr>
          </w:p>
        </w:tc>
        <w:tc>
          <w:tcPr>
            <w:tcW w:w="2091" w:type="dxa"/>
            <w:tcBorders>
              <w:top w:val="single" w:sz="4" w:space="0" w:color="auto"/>
              <w:left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r w:rsidRPr="00C227AD">
              <w:rPr>
                <w:rFonts w:asciiTheme="minorHAnsi" w:eastAsia="Times New Roman" w:hAnsiTheme="minorHAnsi" w:cs="Times New Roman"/>
                <w:b/>
                <w:i/>
                <w:lang w:eastAsia="fr-FR"/>
              </w:rPr>
              <w:t>8</w:t>
            </w:r>
          </w:p>
        </w:tc>
        <w:tc>
          <w:tcPr>
            <w:tcW w:w="160" w:type="dxa"/>
            <w:gridSpan w:val="2"/>
            <w:tcBorders>
              <w:top w:val="nil"/>
              <w:lef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lang w:eastAsia="fr-FR"/>
              </w:rPr>
            </w:pPr>
          </w:p>
        </w:tc>
      </w:tr>
      <w:tr w:rsidR="00CA6FD2" w:rsidRPr="00C227AD" w:rsidTr="00760193">
        <w:trPr>
          <w:gridAfter w:val="1"/>
          <w:wAfter w:w="19" w:type="dxa"/>
          <w:cantSplit/>
        </w:trPr>
        <w:tc>
          <w:tcPr>
            <w:tcW w:w="9142" w:type="dxa"/>
            <w:gridSpan w:val="9"/>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i/>
                <w:lang w:eastAsia="fr-FR"/>
              </w:rPr>
            </w:pPr>
          </w:p>
        </w:tc>
      </w:tr>
      <w:tr w:rsidR="00CA6FD2" w:rsidRPr="00C227AD" w:rsidTr="00760193">
        <w:trPr>
          <w:gridAfter w:val="1"/>
          <w:wAfter w:w="19" w:type="dxa"/>
          <w:cantSplit/>
        </w:trPr>
        <w:tc>
          <w:tcPr>
            <w:tcW w:w="3310" w:type="dxa"/>
            <w:gridSpan w:val="3"/>
            <w:shd w:val="clear" w:color="auto" w:fill="D9D9D9"/>
            <w:vAlign w:val="center"/>
          </w:tcPr>
          <w:p w:rsidR="00CA6FD2" w:rsidRPr="00C227AD" w:rsidRDefault="00CA6FD2" w:rsidP="00CA6FD2">
            <w:pPr>
              <w:spacing w:before="0" w:after="0" w:line="240" w:lineRule="auto"/>
              <w:ind w:left="142"/>
              <w:jc w:val="center"/>
              <w:rPr>
                <w:rFonts w:asciiTheme="minorHAnsi" w:eastAsia="Times New Roman" w:hAnsiTheme="minorHAnsi" w:cs="Times New Roman"/>
                <w:b/>
                <w:i/>
                <w:lang w:eastAsia="fr-FR"/>
              </w:rPr>
            </w:pPr>
            <w:r w:rsidRPr="00C227AD">
              <w:rPr>
                <w:rFonts w:asciiTheme="minorHAnsi" w:eastAsia="Times New Roman" w:hAnsiTheme="minorHAnsi" w:cs="Times New Roman"/>
                <w:b/>
                <w:i/>
                <w:lang w:eastAsia="fr-FR"/>
              </w:rPr>
              <w:t>Décision / Commentaires :</w:t>
            </w:r>
          </w:p>
        </w:tc>
        <w:tc>
          <w:tcPr>
            <w:tcW w:w="5832" w:type="dxa"/>
            <w:gridSpan w:val="6"/>
            <w:vAlign w:val="center"/>
          </w:tcPr>
          <w:p w:rsidR="00CA6FD2" w:rsidRPr="00C227AD" w:rsidRDefault="00CA6FD2" w:rsidP="00CA6FD2">
            <w:pPr>
              <w:spacing w:before="0" w:after="0" w:line="240" w:lineRule="auto"/>
              <w:jc w:val="center"/>
              <w:rPr>
                <w:rFonts w:asciiTheme="minorHAnsi" w:eastAsia="Times New Roman" w:hAnsiTheme="minorHAnsi" w:cs="Times New Roman"/>
                <w:b/>
                <w:i/>
                <w:color w:val="999999"/>
                <w:lang w:eastAsia="fr-FR"/>
              </w:rPr>
            </w:pPr>
            <w:r w:rsidRPr="00C227AD">
              <w:rPr>
                <w:rFonts w:asciiTheme="minorHAnsi" w:eastAsia="Times New Roman" w:hAnsiTheme="minorHAnsi" w:cs="Times New Roman"/>
                <w:b/>
                <w:i/>
                <w:color w:val="999999"/>
                <w:lang w:eastAsia="fr-FR"/>
              </w:rPr>
              <w:t xml:space="preserve">.  .  .  .  .  .  .  .  .  .  .  .  .  .  .  .  .  . .  .  .  .  .  .  .  </w:t>
            </w:r>
          </w:p>
        </w:tc>
      </w:tr>
    </w:tbl>
    <w:p w:rsidR="00C227AD" w:rsidRDefault="00C227AD" w:rsidP="00CA6FD2">
      <w:pPr>
        <w:spacing w:before="0" w:after="0" w:line="240" w:lineRule="auto"/>
        <w:rPr>
          <w:rFonts w:asciiTheme="minorHAnsi" w:eastAsia="Times New Roman" w:hAnsiTheme="minorHAnsi" w:cs="Times New Roman"/>
          <w:bCs/>
          <w:i/>
          <w:lang w:eastAsia="fr-FR"/>
        </w:rPr>
      </w:pPr>
    </w:p>
    <w:p w:rsidR="00CA6FD2" w:rsidRDefault="00CA6FD2" w:rsidP="00CA6FD2">
      <w:pPr>
        <w:spacing w:before="0" w:after="0" w:line="240" w:lineRule="auto"/>
        <w:rPr>
          <w:rFonts w:asciiTheme="minorHAnsi" w:eastAsia="Times New Roman" w:hAnsiTheme="minorHAnsi" w:cs="Times New Roman"/>
          <w:bCs/>
          <w:i/>
          <w:lang w:eastAsia="fr-FR"/>
        </w:rPr>
      </w:pPr>
      <w:r w:rsidRPr="00C227AD">
        <w:rPr>
          <w:rFonts w:asciiTheme="minorHAnsi" w:eastAsia="Times New Roman" w:hAnsiTheme="minorHAnsi" w:cs="Times New Roman"/>
          <w:bCs/>
          <w:i/>
          <w:lang w:eastAsia="fr-FR"/>
        </w:rPr>
        <w:t>Toutes les notes sont calculées sur une échelle de 20.</w:t>
      </w:r>
    </w:p>
    <w:p w:rsidR="00C227AD" w:rsidRPr="00C227AD" w:rsidRDefault="00C227AD" w:rsidP="00CA6FD2">
      <w:pPr>
        <w:spacing w:before="0" w:after="0" w:line="240" w:lineRule="auto"/>
        <w:rPr>
          <w:rFonts w:asciiTheme="minorHAnsi" w:eastAsia="Times New Roman" w:hAnsiTheme="minorHAnsi" w:cs="Times New Roman"/>
          <w:bCs/>
          <w:i/>
          <w:lang w:eastAsia="fr-F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1"/>
        <w:gridCol w:w="1849"/>
      </w:tblGrid>
      <w:tr w:rsidR="00CA6FD2" w:rsidRPr="00C227AD" w:rsidTr="00760193">
        <w:tc>
          <w:tcPr>
            <w:tcW w:w="7331" w:type="dxa"/>
            <w:shd w:val="clear" w:color="auto" w:fill="D9D9D9"/>
            <w:vAlign w:val="center"/>
          </w:tcPr>
          <w:p w:rsidR="00CA6FD2" w:rsidRPr="00C227AD" w:rsidRDefault="00CA6FD2" w:rsidP="00CA6FD2">
            <w:pPr>
              <w:spacing w:before="0" w:after="0" w:line="240" w:lineRule="auto"/>
              <w:ind w:right="459"/>
              <w:jc w:val="center"/>
              <w:rPr>
                <w:rFonts w:asciiTheme="minorHAnsi" w:eastAsia="Times New Roman" w:hAnsiTheme="minorHAnsi" w:cs="Times New Roman"/>
                <w:i/>
                <w:lang w:eastAsia="fr-FR"/>
              </w:rPr>
            </w:pPr>
            <w:r w:rsidRPr="00C227AD">
              <w:rPr>
                <w:rFonts w:asciiTheme="minorHAnsi" w:eastAsia="Times New Roman" w:hAnsiTheme="minorHAnsi" w:cs="Times New Roman"/>
                <w:b/>
                <w:i/>
                <w:lang w:eastAsia="fr-FR"/>
              </w:rPr>
              <w:t>Note attribuée à la soutenance des travaux individuels de fin de formation</w:t>
            </w:r>
          </w:p>
        </w:tc>
        <w:tc>
          <w:tcPr>
            <w:tcW w:w="1849"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iCs/>
                <w:lang w:eastAsia="fr-FR"/>
              </w:rPr>
            </w:pPr>
            <w:r w:rsidRPr="00C227AD">
              <w:rPr>
                <w:rFonts w:asciiTheme="minorHAnsi" w:eastAsia="Times New Roman" w:hAnsiTheme="minorHAnsi" w:cs="Times New Roman"/>
                <w:b/>
                <w:bCs/>
                <w:i/>
                <w:iCs/>
                <w:lang w:eastAsia="fr-FR"/>
              </w:rPr>
              <w:t>/ 20</w:t>
            </w:r>
          </w:p>
        </w:tc>
      </w:tr>
    </w:tbl>
    <w:p w:rsidR="00CA6FD2" w:rsidRPr="00C227AD" w:rsidRDefault="00CA6FD2" w:rsidP="00CA6FD2">
      <w:pPr>
        <w:spacing w:before="0" w:after="0" w:line="240" w:lineRule="auto"/>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Cs/>
          <w:i/>
          <w:sz w:val="21"/>
          <w:szCs w:val="21"/>
          <w:lang w:eastAsia="fr-FR"/>
        </w:rPr>
        <w:br w:type="page"/>
      </w:r>
      <w:r w:rsidRPr="00C227AD">
        <w:rPr>
          <w:rFonts w:asciiTheme="minorHAnsi" w:eastAsia="Times New Roman" w:hAnsiTheme="minorHAnsi" w:cs="Times New Roman"/>
          <w:b/>
          <w:i/>
          <w:sz w:val="21"/>
          <w:szCs w:val="21"/>
          <w:lang w:eastAsia="fr-FR"/>
        </w:rPr>
        <w:t xml:space="preserve">Modalités de calcul de la note finale pour </w:t>
      </w:r>
      <w:r w:rsidRPr="00C227AD">
        <w:rPr>
          <w:rFonts w:asciiTheme="minorHAnsi" w:eastAsia="Times New Roman" w:hAnsiTheme="minorHAnsi" w:cs="Times New Roman"/>
          <w:b/>
          <w:bCs/>
          <w:i/>
          <w:sz w:val="21"/>
          <w:szCs w:val="21"/>
          <w:lang w:eastAsia="fr-FR"/>
        </w:rPr>
        <w:t>l’obtention du Diplôme sanctionnant la filière</w:t>
      </w:r>
    </w:p>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 .  .  .  .  .  .  .  .  .  .  .  .  .  .  .  .  .  .  .  .  .  .  .  .  .  .  .  . »</w:t>
      </w:r>
    </w:p>
    <w:p w:rsidR="00CA6FD2" w:rsidRPr="00C227AD" w:rsidRDefault="00CA6FD2" w:rsidP="00CA6FD2">
      <w:pPr>
        <w:spacing w:before="0" w:after="0" w:line="240" w:lineRule="auto"/>
        <w:jc w:val="both"/>
        <w:rPr>
          <w:rFonts w:asciiTheme="minorHAnsi" w:eastAsia="Times New Roman" w:hAnsiTheme="minorHAnsi" w:cs="Times New Roman"/>
          <w:bCs/>
          <w:i/>
          <w:sz w:val="21"/>
          <w:szCs w:val="21"/>
          <w:lang w:eastAsia="fr-FR"/>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00"/>
        <w:gridCol w:w="180"/>
        <w:gridCol w:w="180"/>
        <w:gridCol w:w="900"/>
        <w:gridCol w:w="180"/>
        <w:gridCol w:w="180"/>
        <w:gridCol w:w="1620"/>
        <w:gridCol w:w="180"/>
        <w:gridCol w:w="180"/>
        <w:gridCol w:w="1080"/>
        <w:gridCol w:w="540"/>
        <w:gridCol w:w="180"/>
        <w:gridCol w:w="1620"/>
      </w:tblGrid>
      <w:tr w:rsidR="00CA6FD2" w:rsidRPr="00C227AD" w:rsidTr="00C227AD">
        <w:trPr>
          <w:cantSplit/>
        </w:trPr>
        <w:tc>
          <w:tcPr>
            <w:tcW w:w="2700" w:type="dxa"/>
            <w:tcBorders>
              <w:top w:val="single" w:sz="4" w:space="0" w:color="auto"/>
              <w:left w:val="single" w:sz="4" w:space="0" w:color="auto"/>
              <w:bottom w:val="single" w:sz="4" w:space="0" w:color="auto"/>
              <w:right w:val="single" w:sz="4" w:space="0" w:color="auto"/>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Report des notes obtenues</w:t>
            </w:r>
          </w:p>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en 1</w:t>
            </w:r>
            <w:r w:rsidRPr="00C227AD">
              <w:rPr>
                <w:rFonts w:asciiTheme="minorHAnsi" w:eastAsia="Times New Roman" w:hAnsiTheme="minorHAnsi" w:cs="Times New Roman"/>
                <w:b/>
                <w:bCs/>
                <w:i/>
                <w:sz w:val="21"/>
                <w:szCs w:val="21"/>
                <w:vertAlign w:val="superscript"/>
                <w:lang w:eastAsia="fr-FR"/>
              </w:rPr>
              <w:t>ère</w:t>
            </w:r>
            <w:r w:rsidRPr="00C227AD">
              <w:rPr>
                <w:rFonts w:asciiTheme="minorHAnsi" w:eastAsia="Times New Roman" w:hAnsiTheme="minorHAnsi" w:cs="Times New Roman"/>
                <w:b/>
                <w:bCs/>
                <w:i/>
                <w:sz w:val="21"/>
                <w:szCs w:val="21"/>
                <w:lang w:eastAsia="fr-FR"/>
              </w:rPr>
              <w:t xml:space="preserve"> et 2</w:t>
            </w:r>
            <w:r w:rsidRPr="00C227AD">
              <w:rPr>
                <w:rFonts w:asciiTheme="minorHAnsi" w:eastAsia="Times New Roman" w:hAnsiTheme="minorHAnsi" w:cs="Times New Roman"/>
                <w:b/>
                <w:bCs/>
                <w:i/>
                <w:sz w:val="21"/>
                <w:szCs w:val="21"/>
                <w:vertAlign w:val="superscript"/>
                <w:lang w:eastAsia="fr-FR"/>
              </w:rPr>
              <w:t>ème</w:t>
            </w:r>
            <w:r w:rsidRPr="00C227AD">
              <w:rPr>
                <w:rFonts w:asciiTheme="minorHAnsi" w:eastAsia="Times New Roman" w:hAnsiTheme="minorHAnsi" w:cs="Times New Roman"/>
                <w:b/>
                <w:bCs/>
                <w:i/>
                <w:sz w:val="21"/>
                <w:szCs w:val="21"/>
                <w:lang w:eastAsia="fr-FR"/>
              </w:rPr>
              <w:t xml:space="preserve"> années</w:t>
            </w:r>
          </w:p>
        </w:tc>
        <w:tc>
          <w:tcPr>
            <w:tcW w:w="144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Contrôles</w:t>
            </w:r>
          </w:p>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Continus</w:t>
            </w:r>
          </w:p>
        </w:tc>
        <w:tc>
          <w:tcPr>
            <w:tcW w:w="198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EFCF</w:t>
            </w:r>
          </w:p>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Théorique</w:t>
            </w:r>
          </w:p>
        </w:tc>
        <w:tc>
          <w:tcPr>
            <w:tcW w:w="1980" w:type="dxa"/>
            <w:gridSpan w:val="4"/>
            <w:tcBorders>
              <w:top w:val="single" w:sz="4" w:space="0" w:color="auto"/>
              <w:left w:val="single" w:sz="4" w:space="0" w:color="auto"/>
              <w:right w:val="single" w:sz="4" w:space="0" w:color="auto"/>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EFCF</w:t>
            </w:r>
          </w:p>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r w:rsidRPr="00C227AD">
              <w:rPr>
                <w:rFonts w:asciiTheme="minorHAnsi" w:eastAsia="Times New Roman" w:hAnsiTheme="minorHAnsi" w:cs="Times New Roman"/>
                <w:b/>
                <w:bCs/>
                <w:i/>
                <w:sz w:val="21"/>
                <w:szCs w:val="21"/>
                <w:lang w:eastAsia="fr-FR"/>
              </w:rPr>
              <w:t>Pratique</w:t>
            </w:r>
          </w:p>
        </w:tc>
        <w:tc>
          <w:tcPr>
            <w:tcW w:w="1620" w:type="dxa"/>
            <w:vMerge w:val="restart"/>
            <w:tcBorders>
              <w:top w:val="nil"/>
              <w:left w:val="single" w:sz="4" w:space="0" w:color="auto"/>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r>
      <w:tr w:rsidR="00CA6FD2" w:rsidRPr="00C227AD" w:rsidTr="00C227AD">
        <w:trPr>
          <w:cantSplit/>
        </w:trPr>
        <w:tc>
          <w:tcPr>
            <w:tcW w:w="8100" w:type="dxa"/>
            <w:gridSpan w:val="12"/>
            <w:tcBorders>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620" w:type="dxa"/>
            <w:vMerge/>
            <w:tcBorders>
              <w:left w:val="single" w:sz="4" w:space="0" w:color="auto"/>
              <w:bottom w:val="single" w:sz="4" w:space="0" w:color="auto"/>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r>
      <w:tr w:rsidR="00CA6FD2" w:rsidRPr="00C227AD" w:rsidTr="00C227AD">
        <w:trPr>
          <w:cantSplit/>
        </w:trPr>
        <w:tc>
          <w:tcPr>
            <w:tcW w:w="2700"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Moyenne des notes</w:t>
            </w:r>
          </w:p>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obtenue en 1</w:t>
            </w:r>
            <w:r w:rsidRPr="00C227AD">
              <w:rPr>
                <w:rFonts w:asciiTheme="minorHAnsi" w:eastAsia="Times New Roman" w:hAnsiTheme="minorHAnsi" w:cs="Times New Roman"/>
                <w:b/>
                <w:bCs/>
                <w:i/>
                <w:sz w:val="21"/>
                <w:szCs w:val="21"/>
                <w:vertAlign w:val="superscript"/>
                <w:lang w:eastAsia="fr-FR"/>
              </w:rPr>
              <w:t>ère</w:t>
            </w:r>
            <w:r w:rsidRPr="00C227AD">
              <w:rPr>
                <w:rFonts w:asciiTheme="minorHAnsi" w:eastAsia="Times New Roman" w:hAnsiTheme="minorHAnsi" w:cs="Times New Roman"/>
                <w:b/>
                <w:bCs/>
                <w:i/>
                <w:sz w:val="21"/>
                <w:szCs w:val="21"/>
                <w:lang w:eastAsia="fr-FR"/>
              </w:rPr>
              <w:t xml:space="preserve"> année</w:t>
            </w:r>
          </w:p>
        </w:tc>
        <w:tc>
          <w:tcPr>
            <w:tcW w:w="1440" w:type="dxa"/>
            <w:gridSpan w:val="4"/>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MCC 1</w:t>
            </w:r>
          </w:p>
        </w:tc>
        <w:tc>
          <w:tcPr>
            <w:tcW w:w="1980" w:type="dxa"/>
            <w:gridSpan w:val="3"/>
            <w:tcBorders>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MEFCFT 1</w:t>
            </w:r>
          </w:p>
        </w:tc>
        <w:tc>
          <w:tcPr>
            <w:tcW w:w="1980" w:type="dxa"/>
            <w:gridSpan w:val="4"/>
            <w:tcBorders>
              <w:left w:val="single" w:sz="4" w:space="0" w:color="auto"/>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MEFCFP 1</w:t>
            </w:r>
          </w:p>
        </w:tc>
        <w:tc>
          <w:tcPr>
            <w:tcW w:w="1620" w:type="dxa"/>
            <w:vMerge w:val="restart"/>
            <w:tcBorders>
              <w:left w:val="single" w:sz="4" w:space="0" w:color="auto"/>
              <w:right w:val="single" w:sz="4" w:space="0" w:color="auto"/>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r w:rsidRPr="00C227AD">
              <w:rPr>
                <w:rFonts w:asciiTheme="minorHAnsi" w:eastAsia="Times New Roman" w:hAnsiTheme="minorHAnsi" w:cs="Times New Roman"/>
                <w:b/>
                <w:i/>
                <w:sz w:val="21"/>
                <w:szCs w:val="21"/>
                <w:lang w:eastAsia="fr-FR"/>
              </w:rPr>
              <w:t>Note Globale attribuée à la soutenance des travaux individuels de formation</w:t>
            </w:r>
          </w:p>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r w:rsidRPr="00C227AD">
              <w:rPr>
                <w:rFonts w:asciiTheme="minorHAnsi" w:eastAsia="Times New Roman" w:hAnsiTheme="minorHAnsi" w:cs="Times New Roman"/>
                <w:b/>
                <w:i/>
                <w:sz w:val="21"/>
                <w:szCs w:val="21"/>
                <w:lang w:eastAsia="fr-FR"/>
              </w:rPr>
              <w:t>(NSTI)</w:t>
            </w:r>
          </w:p>
        </w:tc>
      </w:tr>
      <w:tr w:rsidR="00CA6FD2" w:rsidRPr="00C227AD" w:rsidTr="00C227AD">
        <w:trPr>
          <w:cantSplit/>
        </w:trPr>
        <w:tc>
          <w:tcPr>
            <w:tcW w:w="8100" w:type="dxa"/>
            <w:gridSpan w:val="12"/>
            <w:tcBorders>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620" w:type="dxa"/>
            <w:vMerge/>
            <w:tcBorders>
              <w:left w:val="single" w:sz="4" w:space="0" w:color="auto"/>
              <w:right w:val="single" w:sz="4" w:space="0" w:color="auto"/>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r>
      <w:tr w:rsidR="00CA6FD2" w:rsidRPr="00C227AD" w:rsidTr="00C227AD">
        <w:trPr>
          <w:cantSplit/>
        </w:trPr>
        <w:tc>
          <w:tcPr>
            <w:tcW w:w="2700" w:type="dxa"/>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Moyenne des notes</w:t>
            </w:r>
          </w:p>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obtenue en 2</w:t>
            </w:r>
            <w:r w:rsidRPr="00C227AD">
              <w:rPr>
                <w:rFonts w:asciiTheme="minorHAnsi" w:eastAsia="Times New Roman" w:hAnsiTheme="minorHAnsi" w:cs="Times New Roman"/>
                <w:b/>
                <w:bCs/>
                <w:i/>
                <w:sz w:val="21"/>
                <w:szCs w:val="21"/>
                <w:vertAlign w:val="superscript"/>
                <w:lang w:eastAsia="fr-FR"/>
              </w:rPr>
              <w:t>ème</w:t>
            </w:r>
            <w:r w:rsidRPr="00C227AD">
              <w:rPr>
                <w:rFonts w:asciiTheme="minorHAnsi" w:eastAsia="Times New Roman" w:hAnsiTheme="minorHAnsi" w:cs="Times New Roman"/>
                <w:b/>
                <w:bCs/>
                <w:i/>
                <w:sz w:val="21"/>
                <w:szCs w:val="21"/>
                <w:lang w:eastAsia="fr-FR"/>
              </w:rPr>
              <w:t xml:space="preserve"> année</w:t>
            </w:r>
          </w:p>
        </w:tc>
        <w:tc>
          <w:tcPr>
            <w:tcW w:w="1440" w:type="dxa"/>
            <w:gridSpan w:val="4"/>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MCC 2</w:t>
            </w:r>
          </w:p>
        </w:tc>
        <w:tc>
          <w:tcPr>
            <w:tcW w:w="1980" w:type="dxa"/>
            <w:gridSpan w:val="3"/>
            <w:tcBorders>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MEFCFT 2</w:t>
            </w:r>
          </w:p>
        </w:tc>
        <w:tc>
          <w:tcPr>
            <w:tcW w:w="1980" w:type="dxa"/>
            <w:gridSpan w:val="4"/>
            <w:tcBorders>
              <w:left w:val="single" w:sz="4" w:space="0" w:color="auto"/>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MEFCFP 2</w:t>
            </w:r>
          </w:p>
        </w:tc>
        <w:tc>
          <w:tcPr>
            <w:tcW w:w="1620" w:type="dxa"/>
            <w:vMerge/>
            <w:tcBorders>
              <w:left w:val="single" w:sz="4" w:space="0" w:color="auto"/>
              <w:right w:val="single" w:sz="4" w:space="0" w:color="auto"/>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p>
        </w:tc>
      </w:tr>
      <w:tr w:rsidR="00CA6FD2" w:rsidRPr="00C227AD" w:rsidTr="00C227AD">
        <w:trPr>
          <w:cantSplit/>
        </w:trPr>
        <w:tc>
          <w:tcPr>
            <w:tcW w:w="8100" w:type="dxa"/>
            <w:gridSpan w:val="12"/>
            <w:tcBorders>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620" w:type="dxa"/>
            <w:vMerge/>
            <w:tcBorders>
              <w:left w:val="single" w:sz="4" w:space="0" w:color="auto"/>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r>
      <w:tr w:rsidR="00CA6FD2" w:rsidRPr="00C227AD" w:rsidTr="00C227AD">
        <w:trPr>
          <w:cantSplit/>
          <w:trHeight w:val="263"/>
        </w:trPr>
        <w:tc>
          <w:tcPr>
            <w:tcW w:w="2700" w:type="dxa"/>
            <w:vMerge w:val="restart"/>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Moyenne des notes</w:t>
            </w:r>
          </w:p>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1</w:t>
            </w:r>
            <w:r w:rsidRPr="00C227AD">
              <w:rPr>
                <w:rFonts w:asciiTheme="minorHAnsi" w:eastAsia="Times New Roman" w:hAnsiTheme="minorHAnsi" w:cs="Times New Roman"/>
                <w:b/>
                <w:bCs/>
                <w:i/>
                <w:sz w:val="21"/>
                <w:szCs w:val="21"/>
                <w:vertAlign w:val="superscript"/>
                <w:lang w:eastAsia="fr-FR"/>
              </w:rPr>
              <w:t>ère</w:t>
            </w:r>
            <w:r w:rsidRPr="00C227AD">
              <w:rPr>
                <w:rFonts w:asciiTheme="minorHAnsi" w:eastAsia="Times New Roman" w:hAnsiTheme="minorHAnsi" w:cs="Times New Roman"/>
                <w:b/>
                <w:bCs/>
                <w:i/>
                <w:sz w:val="21"/>
                <w:szCs w:val="21"/>
                <w:lang w:eastAsia="fr-FR"/>
              </w:rPr>
              <w:t xml:space="preserve">  année  +  2</w:t>
            </w:r>
            <w:r w:rsidRPr="00C227AD">
              <w:rPr>
                <w:rFonts w:asciiTheme="minorHAnsi" w:eastAsia="Times New Roman" w:hAnsiTheme="minorHAnsi" w:cs="Times New Roman"/>
                <w:b/>
                <w:bCs/>
                <w:i/>
                <w:sz w:val="21"/>
                <w:szCs w:val="21"/>
                <w:vertAlign w:val="superscript"/>
                <w:lang w:eastAsia="fr-FR"/>
              </w:rPr>
              <w:t>ème</w:t>
            </w:r>
            <w:r w:rsidRPr="00C227AD">
              <w:rPr>
                <w:rFonts w:asciiTheme="minorHAnsi" w:eastAsia="Times New Roman" w:hAnsiTheme="minorHAnsi" w:cs="Times New Roman"/>
                <w:b/>
                <w:bCs/>
                <w:i/>
                <w:sz w:val="21"/>
                <w:szCs w:val="21"/>
                <w:lang w:eastAsia="fr-FR"/>
              </w:rPr>
              <w:t xml:space="preserve"> année</w:t>
            </w:r>
          </w:p>
        </w:tc>
        <w:tc>
          <w:tcPr>
            <w:tcW w:w="1440" w:type="dxa"/>
            <w:gridSpan w:val="4"/>
            <w:tcBorders>
              <w:bottom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MCC 1 + MCC 2</w:t>
            </w:r>
          </w:p>
        </w:tc>
        <w:tc>
          <w:tcPr>
            <w:tcW w:w="1980" w:type="dxa"/>
            <w:gridSpan w:val="3"/>
            <w:tcBorders>
              <w:bottom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MEFCFT 1 + MEFCFT 2</w:t>
            </w:r>
          </w:p>
        </w:tc>
        <w:tc>
          <w:tcPr>
            <w:tcW w:w="1980" w:type="dxa"/>
            <w:gridSpan w:val="4"/>
            <w:tcBorders>
              <w:bottom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MEFCFP 1 + MEFCFP 2</w:t>
            </w:r>
          </w:p>
        </w:tc>
        <w:tc>
          <w:tcPr>
            <w:tcW w:w="1620" w:type="dxa"/>
            <w:vMerge w:val="restart"/>
            <w:tcBorders>
              <w:left w:val="single" w:sz="4" w:space="0" w:color="auto"/>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p>
        </w:tc>
      </w:tr>
      <w:tr w:rsidR="00CA6FD2" w:rsidRPr="00C227AD" w:rsidTr="00C227AD">
        <w:trPr>
          <w:cantSplit/>
          <w:trHeight w:val="262"/>
        </w:trPr>
        <w:tc>
          <w:tcPr>
            <w:tcW w:w="2700" w:type="dxa"/>
            <w:vMerge/>
            <w:tcBorders>
              <w:top w:val="nil"/>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80" w:type="dxa"/>
            <w:tcBorders>
              <w:top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080" w:type="dxa"/>
            <w:gridSpan w:val="2"/>
            <w:tcBorders>
              <w:top w:val="single" w:sz="4" w:space="0" w:color="auto"/>
              <w:left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2</w:t>
            </w:r>
          </w:p>
        </w:tc>
        <w:tc>
          <w:tcPr>
            <w:tcW w:w="180" w:type="dxa"/>
            <w:tcBorders>
              <w:top w:val="nil"/>
              <w:left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80" w:type="dxa"/>
            <w:tcBorders>
              <w:top w:val="nil"/>
              <w:left w:val="single" w:sz="4" w:space="0" w:color="auto"/>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620" w:type="dxa"/>
            <w:tcBorders>
              <w:top w:val="single" w:sz="4" w:space="0" w:color="auto"/>
              <w:left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2</w:t>
            </w:r>
          </w:p>
        </w:tc>
        <w:tc>
          <w:tcPr>
            <w:tcW w:w="180" w:type="dxa"/>
            <w:tcBorders>
              <w:top w:val="nil"/>
              <w:left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80" w:type="dxa"/>
            <w:tcBorders>
              <w:top w:val="nil"/>
              <w:left w:val="single" w:sz="4" w:space="0" w:color="auto"/>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620" w:type="dxa"/>
            <w:gridSpan w:val="2"/>
            <w:tcBorders>
              <w:top w:val="single" w:sz="4" w:space="0" w:color="auto"/>
              <w:left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2</w:t>
            </w:r>
          </w:p>
        </w:tc>
        <w:tc>
          <w:tcPr>
            <w:tcW w:w="180" w:type="dxa"/>
            <w:tcBorders>
              <w:top w:val="nil"/>
              <w:left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620" w:type="dxa"/>
            <w:vMerge/>
            <w:tcBorders>
              <w:left w:val="single" w:sz="4" w:space="0" w:color="auto"/>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p>
        </w:tc>
      </w:tr>
      <w:tr w:rsidR="00CA6FD2" w:rsidRPr="00C227AD" w:rsidTr="00C227AD">
        <w:trPr>
          <w:cantSplit/>
        </w:trPr>
        <w:tc>
          <w:tcPr>
            <w:tcW w:w="2700" w:type="dxa"/>
            <w:vMerge/>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440" w:type="dxa"/>
            <w:gridSpan w:val="4"/>
            <w:tcBorders>
              <w:bottom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w:t>
            </w:r>
          </w:p>
        </w:tc>
        <w:tc>
          <w:tcPr>
            <w:tcW w:w="1980" w:type="dxa"/>
            <w:gridSpan w:val="3"/>
            <w:tcBorders>
              <w:bottom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w:t>
            </w:r>
          </w:p>
        </w:tc>
        <w:tc>
          <w:tcPr>
            <w:tcW w:w="1980" w:type="dxa"/>
            <w:gridSpan w:val="4"/>
            <w:tcBorders>
              <w:bottom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w:t>
            </w:r>
          </w:p>
        </w:tc>
        <w:tc>
          <w:tcPr>
            <w:tcW w:w="1620" w:type="dxa"/>
            <w:vMerge/>
            <w:tcBorders>
              <w:left w:val="single" w:sz="4" w:space="0" w:color="auto"/>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r>
      <w:tr w:rsidR="00CA6FD2" w:rsidRPr="00C227AD" w:rsidTr="00C227AD">
        <w:trPr>
          <w:cantSplit/>
        </w:trPr>
        <w:tc>
          <w:tcPr>
            <w:tcW w:w="2700" w:type="dxa"/>
            <w:vMerge/>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c>
          <w:tcPr>
            <w:tcW w:w="1440" w:type="dxa"/>
            <w:gridSpan w:val="4"/>
            <w:tcBorders>
              <w:top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MCC</w:t>
            </w:r>
          </w:p>
        </w:tc>
        <w:tc>
          <w:tcPr>
            <w:tcW w:w="1980" w:type="dxa"/>
            <w:gridSpan w:val="3"/>
            <w:tcBorders>
              <w:top w:val="nil"/>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MEFCFT</w:t>
            </w:r>
          </w:p>
        </w:tc>
        <w:tc>
          <w:tcPr>
            <w:tcW w:w="1980" w:type="dxa"/>
            <w:gridSpan w:val="4"/>
            <w:tcBorders>
              <w:top w:val="nil"/>
              <w:left w:val="single" w:sz="4" w:space="0" w:color="auto"/>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r w:rsidRPr="00C227AD">
              <w:rPr>
                <w:rFonts w:asciiTheme="minorHAnsi" w:eastAsia="Times New Roman" w:hAnsiTheme="minorHAnsi" w:cs="Times New Roman"/>
                <w:b/>
                <w:bCs/>
                <w:i/>
                <w:sz w:val="21"/>
                <w:szCs w:val="21"/>
                <w:lang w:eastAsia="fr-FR"/>
              </w:rPr>
              <w:t>MEFCFP</w:t>
            </w:r>
          </w:p>
        </w:tc>
        <w:tc>
          <w:tcPr>
            <w:tcW w:w="1620" w:type="dxa"/>
            <w:tcBorders>
              <w:left w:val="single" w:sz="4" w:space="0" w:color="auto"/>
              <w:right w:val="single" w:sz="4" w:space="0" w:color="auto"/>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r w:rsidRPr="00C227AD">
              <w:rPr>
                <w:rFonts w:asciiTheme="minorHAnsi" w:eastAsia="Times New Roman" w:hAnsiTheme="minorHAnsi" w:cs="Times New Roman"/>
                <w:b/>
                <w:i/>
                <w:sz w:val="21"/>
                <w:szCs w:val="21"/>
                <w:lang w:eastAsia="fr-FR"/>
              </w:rPr>
              <w:t>NSTI</w:t>
            </w:r>
          </w:p>
        </w:tc>
      </w:tr>
      <w:tr w:rsidR="00CA6FD2" w:rsidRPr="00C227AD" w:rsidTr="00C227AD">
        <w:trPr>
          <w:cantSplit/>
        </w:trPr>
        <w:tc>
          <w:tcPr>
            <w:tcW w:w="9720" w:type="dxa"/>
            <w:gridSpan w:val="13"/>
            <w:tcBorders>
              <w:right w:val="single" w:sz="4" w:space="0" w:color="auto"/>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sz w:val="21"/>
                <w:szCs w:val="21"/>
                <w:lang w:eastAsia="fr-FR"/>
              </w:rPr>
            </w:pPr>
          </w:p>
        </w:tc>
      </w:tr>
      <w:tr w:rsidR="00CA6FD2" w:rsidRPr="00C227AD" w:rsidTr="00C227AD">
        <w:trPr>
          <w:cantSplit/>
          <w:trHeight w:val="425"/>
        </w:trPr>
        <w:tc>
          <w:tcPr>
            <w:tcW w:w="2700" w:type="dxa"/>
            <w:vMerge w:val="restart"/>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caps/>
                <w:sz w:val="21"/>
                <w:szCs w:val="21"/>
                <w:lang w:eastAsia="fr-FR"/>
              </w:rPr>
            </w:pPr>
            <w:r w:rsidRPr="00C227AD">
              <w:rPr>
                <w:rFonts w:asciiTheme="minorHAnsi" w:eastAsia="Times New Roman" w:hAnsiTheme="minorHAnsi" w:cs="Times New Roman"/>
                <w:b/>
                <w:bCs/>
                <w:i/>
                <w:caps/>
                <w:sz w:val="21"/>
                <w:szCs w:val="21"/>
                <w:lang w:eastAsia="fr-FR"/>
              </w:rPr>
              <w:t xml:space="preserve">Note finale </w:t>
            </w:r>
          </w:p>
        </w:tc>
        <w:tc>
          <w:tcPr>
            <w:tcW w:w="360" w:type="dxa"/>
            <w:gridSpan w:val="2"/>
            <w:tcBorders>
              <w:bottom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p>
        </w:tc>
        <w:tc>
          <w:tcPr>
            <w:tcW w:w="4320" w:type="dxa"/>
            <w:gridSpan w:val="7"/>
            <w:tcBorders>
              <w:left w:val="nil"/>
              <w:bottom w:val="single" w:sz="4" w:space="0" w:color="auto"/>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r w:rsidRPr="00C227AD">
              <w:rPr>
                <w:rFonts w:asciiTheme="minorHAnsi" w:eastAsia="Times New Roman" w:hAnsiTheme="minorHAnsi" w:cs="Times New Roman"/>
                <w:b/>
                <w:i/>
                <w:sz w:val="21"/>
                <w:szCs w:val="21"/>
                <w:lang w:eastAsia="fr-FR"/>
              </w:rPr>
              <w:t xml:space="preserve">MCCx3 + </w:t>
            </w:r>
            <w:r w:rsidRPr="00C227AD">
              <w:rPr>
                <w:rFonts w:asciiTheme="minorHAnsi" w:eastAsia="Times New Roman" w:hAnsiTheme="minorHAnsi" w:cs="Times New Roman"/>
                <w:b/>
                <w:bCs/>
                <w:i/>
                <w:sz w:val="21"/>
                <w:szCs w:val="21"/>
                <w:lang w:eastAsia="fr-FR"/>
              </w:rPr>
              <w:t>MEFCFTx2 + MEFCFPx3 + NSTIx2</w:t>
            </w:r>
          </w:p>
        </w:tc>
        <w:tc>
          <w:tcPr>
            <w:tcW w:w="540" w:type="dxa"/>
            <w:vMerge w:val="restart"/>
            <w:tcBorders>
              <w:left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r w:rsidRPr="00C227AD">
              <w:rPr>
                <w:rFonts w:asciiTheme="minorHAnsi" w:eastAsia="Times New Roman" w:hAnsiTheme="minorHAnsi" w:cs="Times New Roman"/>
                <w:b/>
                <w:i/>
                <w:sz w:val="21"/>
                <w:szCs w:val="21"/>
                <w:lang w:eastAsia="fr-FR"/>
              </w:rPr>
              <w:t>=</w:t>
            </w:r>
          </w:p>
        </w:tc>
        <w:tc>
          <w:tcPr>
            <w:tcW w:w="1800" w:type="dxa"/>
            <w:gridSpan w:val="2"/>
            <w:vMerge w:val="restart"/>
            <w:tcBorders>
              <w:left w:val="nil"/>
            </w:tcBorders>
            <w:vAlign w:val="center"/>
          </w:tcPr>
          <w:p w:rsidR="00CA6FD2" w:rsidRPr="00C227AD" w:rsidRDefault="00CA6FD2" w:rsidP="00CA6FD2">
            <w:pPr>
              <w:spacing w:before="0" w:after="0" w:line="240" w:lineRule="auto"/>
              <w:rPr>
                <w:rFonts w:asciiTheme="minorHAnsi" w:eastAsia="Times New Roman" w:hAnsiTheme="minorHAnsi" w:cs="Times New Roman"/>
                <w:b/>
                <w:i/>
                <w:sz w:val="21"/>
                <w:szCs w:val="21"/>
                <w:lang w:eastAsia="fr-FR"/>
              </w:rPr>
            </w:pPr>
            <w:r w:rsidRPr="00C227AD">
              <w:rPr>
                <w:rFonts w:asciiTheme="minorHAnsi" w:eastAsia="Times New Roman" w:hAnsiTheme="minorHAnsi" w:cs="Times New Roman"/>
                <w:b/>
                <w:i/>
                <w:sz w:val="21"/>
                <w:szCs w:val="21"/>
                <w:lang w:eastAsia="fr-FR"/>
              </w:rPr>
              <w:t>NF*</w:t>
            </w:r>
          </w:p>
        </w:tc>
      </w:tr>
      <w:tr w:rsidR="00CA6FD2" w:rsidRPr="00C227AD" w:rsidTr="00C227AD">
        <w:trPr>
          <w:cantSplit/>
          <w:trHeight w:val="192"/>
        </w:trPr>
        <w:tc>
          <w:tcPr>
            <w:tcW w:w="2700" w:type="dxa"/>
            <w:vMerge/>
            <w:tcBorders>
              <w:top w:val="nil"/>
            </w:tcBorders>
            <w:shd w:val="clear" w:color="auto" w:fill="D9D9D9"/>
            <w:vAlign w:val="center"/>
          </w:tcPr>
          <w:p w:rsidR="00CA6FD2" w:rsidRPr="00C227AD" w:rsidRDefault="00CA6FD2" w:rsidP="00CA6FD2">
            <w:pPr>
              <w:spacing w:before="0" w:after="0" w:line="240" w:lineRule="auto"/>
              <w:jc w:val="center"/>
              <w:rPr>
                <w:rFonts w:asciiTheme="minorHAnsi" w:eastAsia="Times New Roman" w:hAnsiTheme="minorHAnsi" w:cs="Times New Roman"/>
                <w:b/>
                <w:bCs/>
                <w:i/>
                <w:caps/>
                <w:sz w:val="21"/>
                <w:szCs w:val="21"/>
                <w:lang w:eastAsia="fr-FR"/>
              </w:rPr>
            </w:pPr>
          </w:p>
        </w:tc>
        <w:tc>
          <w:tcPr>
            <w:tcW w:w="360" w:type="dxa"/>
            <w:gridSpan w:val="2"/>
            <w:tcBorders>
              <w:top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p>
        </w:tc>
        <w:tc>
          <w:tcPr>
            <w:tcW w:w="4320" w:type="dxa"/>
            <w:gridSpan w:val="7"/>
            <w:tcBorders>
              <w:top w:val="nil"/>
              <w:left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r w:rsidRPr="00C227AD">
              <w:rPr>
                <w:rFonts w:asciiTheme="minorHAnsi" w:eastAsia="Times New Roman" w:hAnsiTheme="minorHAnsi" w:cs="Times New Roman"/>
                <w:b/>
                <w:i/>
                <w:sz w:val="21"/>
                <w:szCs w:val="21"/>
                <w:lang w:eastAsia="fr-FR"/>
              </w:rPr>
              <w:t>10</w:t>
            </w:r>
          </w:p>
        </w:tc>
        <w:tc>
          <w:tcPr>
            <w:tcW w:w="540" w:type="dxa"/>
            <w:vMerge/>
            <w:tcBorders>
              <w:left w:val="nil"/>
              <w:righ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p>
        </w:tc>
        <w:tc>
          <w:tcPr>
            <w:tcW w:w="1800" w:type="dxa"/>
            <w:gridSpan w:val="2"/>
            <w:vMerge/>
            <w:tcBorders>
              <w:left w:val="nil"/>
            </w:tcBorders>
            <w:vAlign w:val="center"/>
          </w:tcPr>
          <w:p w:rsidR="00CA6FD2" w:rsidRPr="00C227AD" w:rsidRDefault="00CA6FD2" w:rsidP="00CA6FD2">
            <w:pPr>
              <w:spacing w:before="0" w:after="0" w:line="240" w:lineRule="auto"/>
              <w:jc w:val="center"/>
              <w:rPr>
                <w:rFonts w:asciiTheme="minorHAnsi" w:eastAsia="Times New Roman" w:hAnsiTheme="minorHAnsi" w:cs="Times New Roman"/>
                <w:b/>
                <w:i/>
                <w:sz w:val="21"/>
                <w:szCs w:val="21"/>
                <w:lang w:eastAsia="fr-FR"/>
              </w:rPr>
            </w:pPr>
          </w:p>
        </w:tc>
      </w:tr>
    </w:tbl>
    <w:p w:rsidR="00CA6FD2" w:rsidRPr="00C227AD" w:rsidRDefault="00CA6FD2" w:rsidP="00CA6FD2">
      <w:pPr>
        <w:spacing w:before="0" w:after="0" w:line="240" w:lineRule="auto"/>
        <w:jc w:val="both"/>
        <w:rPr>
          <w:rFonts w:asciiTheme="minorHAnsi" w:eastAsia="Times New Roman" w:hAnsiTheme="minorHAnsi" w:cs="Times New Roman"/>
          <w:b/>
          <w:i/>
          <w:iCs/>
          <w:sz w:val="21"/>
          <w:szCs w:val="21"/>
          <w:lang w:eastAsia="fr-FR"/>
        </w:rPr>
      </w:pPr>
      <w:r w:rsidRPr="00C227AD">
        <w:rPr>
          <w:rFonts w:asciiTheme="minorHAnsi" w:eastAsia="Times New Roman" w:hAnsiTheme="minorHAnsi" w:cs="Times New Roman"/>
          <w:b/>
          <w:i/>
          <w:sz w:val="21"/>
          <w:szCs w:val="21"/>
          <w:lang w:eastAsia="fr-FR"/>
        </w:rPr>
        <w:t xml:space="preserve">* </w:t>
      </w:r>
      <w:r w:rsidRPr="00C227AD">
        <w:rPr>
          <w:rFonts w:asciiTheme="minorHAnsi" w:eastAsia="Times New Roman" w:hAnsiTheme="minorHAnsi" w:cs="Times New Roman"/>
          <w:b/>
          <w:i/>
          <w:iCs/>
          <w:sz w:val="21"/>
          <w:szCs w:val="21"/>
          <w:lang w:eastAsia="fr-FR"/>
        </w:rPr>
        <w:t>NF ≥ 10/20, le stagiaire est déclaré admis et donc le diplôme / certificat lui sera attribué en tant que lauréat de l’établissement,</w:t>
      </w:r>
    </w:p>
    <w:p w:rsidR="00CA6FD2" w:rsidRPr="00C227AD" w:rsidRDefault="00CA6FD2" w:rsidP="00CA6FD2">
      <w:pPr>
        <w:spacing w:before="0" w:after="0" w:line="240" w:lineRule="auto"/>
        <w:jc w:val="both"/>
        <w:rPr>
          <w:rFonts w:asciiTheme="minorHAnsi" w:eastAsia="Times New Roman" w:hAnsiTheme="minorHAnsi" w:cs="Times New Roman"/>
          <w:b/>
          <w:i/>
          <w:iCs/>
          <w:sz w:val="21"/>
          <w:szCs w:val="21"/>
          <w:lang w:eastAsia="fr-FR"/>
        </w:rPr>
      </w:pPr>
      <w:r w:rsidRPr="00C227AD">
        <w:rPr>
          <w:rFonts w:asciiTheme="minorHAnsi" w:eastAsia="Times New Roman" w:hAnsiTheme="minorHAnsi" w:cs="Times New Roman"/>
          <w:b/>
          <w:i/>
          <w:sz w:val="21"/>
          <w:szCs w:val="21"/>
          <w:lang w:eastAsia="fr-FR"/>
        </w:rPr>
        <w:t>*</w:t>
      </w:r>
      <w:r w:rsidRPr="00C227AD">
        <w:rPr>
          <w:rFonts w:asciiTheme="minorHAnsi" w:eastAsia="Times New Roman" w:hAnsiTheme="minorHAnsi" w:cs="Times New Roman"/>
          <w:b/>
          <w:i/>
          <w:iCs/>
          <w:sz w:val="21"/>
          <w:szCs w:val="21"/>
          <w:lang w:eastAsia="fr-FR"/>
        </w:rPr>
        <w:t xml:space="preserve"> NF &lt; 10/20, le stagiaire peut bénéficier d’un seul redoublement pour la durée de la filière de formation.</w:t>
      </w:r>
    </w:p>
    <w:p w:rsidR="00CA6FD2" w:rsidRPr="00C227AD" w:rsidRDefault="00CA6FD2" w:rsidP="00CA6FD2">
      <w:pPr>
        <w:spacing w:before="0" w:after="0" w:line="240" w:lineRule="auto"/>
        <w:jc w:val="both"/>
        <w:rPr>
          <w:rFonts w:asciiTheme="minorHAnsi" w:eastAsia="Times New Roman" w:hAnsiTheme="minorHAnsi" w:cs="Times New Roman"/>
          <w:bCs/>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bCs/>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bCs/>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bCs/>
          <w:sz w:val="21"/>
          <w:szCs w:val="21"/>
          <w:lang w:eastAsia="fr-FR"/>
        </w:rPr>
      </w:pPr>
    </w:p>
    <w:p w:rsidR="00CA6FD2" w:rsidRPr="00C227AD" w:rsidRDefault="00CA6FD2" w:rsidP="00CA6FD2">
      <w:pPr>
        <w:spacing w:before="0" w:after="0" w:line="240" w:lineRule="auto"/>
        <w:jc w:val="both"/>
        <w:rPr>
          <w:rFonts w:asciiTheme="minorHAnsi" w:eastAsia="Times New Roman" w:hAnsiTheme="minorHAnsi" w:cs="Times New Roman"/>
          <w:bCs/>
          <w:sz w:val="21"/>
          <w:szCs w:val="21"/>
          <w:lang w:eastAsia="fr-FR"/>
        </w:rPr>
      </w:pP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tblPr>
      <w:tblGrid>
        <w:gridCol w:w="8100"/>
      </w:tblGrid>
      <w:tr w:rsidR="00CA6FD2" w:rsidRPr="00C227AD" w:rsidTr="00C227AD">
        <w:trPr>
          <w:trHeight w:val="1074"/>
          <w:jc w:val="center"/>
        </w:trPr>
        <w:tc>
          <w:tcPr>
            <w:tcW w:w="8100" w:type="dxa"/>
            <w:shd w:val="clear" w:color="auto" w:fill="D9D9D9"/>
            <w:vAlign w:val="center"/>
          </w:tcPr>
          <w:p w:rsidR="00CA6FD2" w:rsidRPr="00C227AD" w:rsidRDefault="00CA6FD2" w:rsidP="00CA6FD2">
            <w:pPr>
              <w:spacing w:after="120" w:line="240" w:lineRule="auto"/>
              <w:jc w:val="center"/>
              <w:rPr>
                <w:rFonts w:asciiTheme="minorHAnsi" w:eastAsia="Times New Roman" w:hAnsiTheme="minorHAnsi" w:cs="Times New Roman"/>
                <w:b/>
                <w:bCs/>
                <w:i/>
                <w:iCs/>
                <w:sz w:val="21"/>
                <w:szCs w:val="21"/>
                <w:lang w:eastAsia="fr-FR"/>
              </w:rPr>
            </w:pPr>
            <w:r w:rsidRPr="00C227AD">
              <w:rPr>
                <w:rFonts w:asciiTheme="minorHAnsi" w:eastAsia="Times New Roman" w:hAnsiTheme="minorHAnsi" w:cs="Times New Roman"/>
                <w:b/>
                <w:bCs/>
                <w:i/>
                <w:iCs/>
                <w:sz w:val="21"/>
                <w:szCs w:val="21"/>
                <w:lang w:eastAsia="fr-FR"/>
              </w:rPr>
              <w:t xml:space="preserve">Le présent règlement avant d’être affiché dans l’établissement doit être lu et signé par l’ensemble des membres du jury d’examens après que l’ensemble des unités de formation et leurs coefficients ont été saisis </w:t>
            </w:r>
          </w:p>
        </w:tc>
      </w:tr>
    </w:tbl>
    <w:p w:rsidR="00CA6FD2" w:rsidRPr="00C227AD" w:rsidRDefault="00CA6FD2" w:rsidP="00CA6FD2">
      <w:pPr>
        <w:spacing w:before="0" w:after="0" w:line="240" w:lineRule="auto"/>
        <w:jc w:val="both"/>
        <w:rPr>
          <w:rFonts w:asciiTheme="minorHAnsi" w:eastAsia="Times New Roman" w:hAnsiTheme="minorHAnsi" w:cs="Times New Roman"/>
          <w:bCs/>
          <w:sz w:val="21"/>
          <w:szCs w:val="21"/>
          <w:lang w:eastAsia="fr-FR"/>
        </w:rPr>
      </w:pPr>
    </w:p>
    <w:p w:rsidR="00CA6FD2" w:rsidRPr="00C227AD" w:rsidRDefault="00CA6FD2" w:rsidP="00CA6FD2">
      <w:pPr>
        <w:spacing w:before="0" w:after="0" w:line="240" w:lineRule="auto"/>
        <w:rPr>
          <w:rFonts w:asciiTheme="minorHAnsi" w:eastAsia="Times New Roman" w:hAnsiTheme="minorHAnsi" w:cs="Times New Roman"/>
          <w:sz w:val="21"/>
          <w:szCs w:val="21"/>
          <w:lang w:eastAsia="fr-FR"/>
        </w:rPr>
      </w:pPr>
    </w:p>
    <w:p w:rsidR="00CA6FD2" w:rsidRPr="00C227AD" w:rsidRDefault="00CA6FD2" w:rsidP="00CA6FD2">
      <w:pPr>
        <w:spacing w:before="0" w:after="0" w:line="240" w:lineRule="auto"/>
        <w:rPr>
          <w:rFonts w:asciiTheme="minorHAnsi" w:eastAsia="Times New Roman" w:hAnsiTheme="minorHAnsi" w:cs="Times New Roman"/>
          <w:sz w:val="21"/>
          <w:szCs w:val="21"/>
          <w:lang w:eastAsia="fr-FR"/>
        </w:rPr>
        <w:sectPr w:rsidR="00CA6FD2" w:rsidRPr="00C227AD" w:rsidSect="00C227AD">
          <w:type w:val="continuous"/>
          <w:pgSz w:w="11906" w:h="16838"/>
          <w:pgMar w:top="1418" w:right="1134" w:bottom="1418" w:left="1701" w:header="709" w:footer="510" w:gutter="0"/>
          <w:cols w:sep="1" w:space="709"/>
          <w:docGrid w:linePitch="360"/>
        </w:sectPr>
      </w:pPr>
    </w:p>
    <w:p w:rsidR="00682BF7" w:rsidRPr="00C227AD" w:rsidRDefault="00682BF7" w:rsidP="00EF5CA1">
      <w:pPr>
        <w:spacing w:before="0" w:after="0" w:line="240" w:lineRule="auto"/>
        <w:rPr>
          <w:rFonts w:asciiTheme="minorHAnsi" w:hAnsiTheme="minorHAnsi"/>
          <w:sz w:val="21"/>
          <w:szCs w:val="21"/>
        </w:rPr>
      </w:pPr>
    </w:p>
    <w:sectPr w:rsidR="00682BF7" w:rsidRPr="00C227AD" w:rsidSect="00C227AD">
      <w:headerReference w:type="default" r:id="rId12"/>
      <w:footerReference w:type="default" r:id="rId13"/>
      <w:type w:val="continuous"/>
      <w:pgSz w:w="11906" w:h="16838" w:code="9"/>
      <w:pgMar w:top="1418" w:right="1134"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7AD" w:rsidRDefault="00C227AD" w:rsidP="00CA6FD2">
      <w:pPr>
        <w:spacing w:before="0" w:after="0" w:line="240" w:lineRule="auto"/>
      </w:pPr>
      <w:r>
        <w:separator/>
      </w:r>
    </w:p>
  </w:endnote>
  <w:endnote w:type="continuationSeparator" w:id="0">
    <w:p w:rsidR="00C227AD" w:rsidRDefault="00C227AD" w:rsidP="00CA6FD2">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SansMS">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Narrow">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AD" w:rsidRDefault="00C227A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rsidR="00C227AD" w:rsidRDefault="00C227AD">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AD" w:rsidRDefault="00C227AD">
    <w:pPr>
      <w:pStyle w:val="Pieddepage"/>
    </w:pPr>
    <w:r>
      <w:rPr>
        <w:noProof/>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margin-left:538.9pt;margin-top:802.7pt;width:29pt;height:21.6pt;z-index:251659264;mso-position-horizontal-relative:page;mso-position-vertical-relative:page" o:allowincell="f" adj="14135" strokecolor="gray" strokeweight=".25pt">
          <v:textbox style="mso-next-textbox:#_x0000_s1026">
            <w:txbxContent>
              <w:p w:rsidR="00C227AD" w:rsidRPr="00432B4F" w:rsidRDefault="00C227AD" w:rsidP="00C227AD">
                <w:pPr>
                  <w:spacing w:before="0" w:after="0" w:line="240" w:lineRule="auto"/>
                  <w:jc w:val="center"/>
                  <w:rPr>
                    <w:b/>
                    <w:bCs/>
                    <w:sz w:val="16"/>
                    <w:szCs w:val="16"/>
                  </w:rPr>
                </w:pPr>
                <w:r w:rsidRPr="00432B4F">
                  <w:rPr>
                    <w:b/>
                    <w:bCs/>
                    <w:sz w:val="16"/>
                    <w:szCs w:val="16"/>
                  </w:rPr>
                  <w:fldChar w:fldCharType="begin"/>
                </w:r>
                <w:r w:rsidRPr="00432B4F">
                  <w:rPr>
                    <w:b/>
                    <w:bCs/>
                    <w:sz w:val="16"/>
                    <w:szCs w:val="16"/>
                  </w:rPr>
                  <w:instrText xml:space="preserve"> PAGE    \* MERGEFORMAT </w:instrText>
                </w:r>
                <w:r w:rsidRPr="00432B4F">
                  <w:rPr>
                    <w:b/>
                    <w:bCs/>
                    <w:sz w:val="16"/>
                    <w:szCs w:val="16"/>
                  </w:rPr>
                  <w:fldChar w:fldCharType="separate"/>
                </w:r>
                <w:r w:rsidR="006E4AC0">
                  <w:rPr>
                    <w:b/>
                    <w:bCs/>
                    <w:noProof/>
                    <w:sz w:val="16"/>
                    <w:szCs w:val="16"/>
                  </w:rPr>
                  <w:t>4</w:t>
                </w:r>
                <w:r w:rsidRPr="00432B4F">
                  <w:rPr>
                    <w:b/>
                    <w:bCs/>
                    <w:sz w:val="16"/>
                    <w:szCs w:val="16"/>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AD" w:rsidRDefault="00C227AD">
    <w:pPr>
      <w:pStyle w:val="Pieddepage"/>
    </w:pPr>
    <w:r>
      <w:rPr>
        <w:noProof/>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5" type="#_x0000_t65" style="position:absolute;margin-left:537.4pt;margin-top:802.7pt;width:29pt;height:21.6pt;z-index:251658240;mso-position-horizontal-relative:page;mso-position-vertical-relative:page" o:allowincell="f" adj="14135" strokecolor="gray" strokeweight=".25pt">
          <v:textbox style="mso-next-textbox:#_x0000_s1025">
            <w:txbxContent>
              <w:p w:rsidR="00C227AD" w:rsidRPr="00432B4F" w:rsidRDefault="00C227AD" w:rsidP="00C227AD">
                <w:pPr>
                  <w:spacing w:before="0" w:after="0" w:line="240" w:lineRule="auto"/>
                  <w:jc w:val="center"/>
                  <w:rPr>
                    <w:b/>
                    <w:bCs/>
                    <w:sz w:val="16"/>
                    <w:szCs w:val="16"/>
                  </w:rPr>
                </w:pPr>
                <w:r w:rsidRPr="00432B4F">
                  <w:rPr>
                    <w:b/>
                    <w:bCs/>
                    <w:sz w:val="16"/>
                    <w:szCs w:val="16"/>
                  </w:rPr>
                  <w:fldChar w:fldCharType="begin"/>
                </w:r>
                <w:r w:rsidRPr="00432B4F">
                  <w:rPr>
                    <w:b/>
                    <w:bCs/>
                    <w:sz w:val="16"/>
                    <w:szCs w:val="16"/>
                  </w:rPr>
                  <w:instrText xml:space="preserve"> PAGE    \* MERGEFORMAT </w:instrText>
                </w:r>
                <w:r w:rsidRPr="00432B4F">
                  <w:rPr>
                    <w:b/>
                    <w:bCs/>
                    <w:sz w:val="16"/>
                    <w:szCs w:val="16"/>
                  </w:rPr>
                  <w:fldChar w:fldCharType="separate"/>
                </w:r>
                <w:r w:rsidR="006E4AC0">
                  <w:rPr>
                    <w:b/>
                    <w:bCs/>
                    <w:noProof/>
                    <w:sz w:val="16"/>
                    <w:szCs w:val="16"/>
                  </w:rPr>
                  <w:t>1</w:t>
                </w:r>
                <w:r w:rsidRPr="00432B4F">
                  <w:rPr>
                    <w:b/>
                    <w:bCs/>
                    <w:sz w:val="16"/>
                    <w:szCs w:val="16"/>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25407"/>
      <w:docPartObj>
        <w:docPartGallery w:val="Page Numbers (Bottom of Page)"/>
        <w:docPartUnique/>
      </w:docPartObj>
    </w:sdtPr>
    <w:sdtContent>
      <w:p w:rsidR="00C227AD" w:rsidRPr="00EF5CA1" w:rsidRDefault="00C227AD" w:rsidP="00EF5CA1">
        <w:pPr>
          <w:pStyle w:val="Pieddepage"/>
          <w:jc w:val="center"/>
        </w:pPr>
        <w:fldSimple w:instr=" PAGE   \* MERGEFORMAT ">
          <w:r>
            <w:rPr>
              <w:noProof/>
            </w:rPr>
            <w:t>16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7AD" w:rsidRDefault="00C227AD" w:rsidP="00CA6FD2">
      <w:pPr>
        <w:spacing w:before="0" w:after="0" w:line="240" w:lineRule="auto"/>
      </w:pPr>
      <w:r>
        <w:separator/>
      </w:r>
    </w:p>
  </w:footnote>
  <w:footnote w:type="continuationSeparator" w:id="0">
    <w:p w:rsidR="00C227AD" w:rsidRDefault="00C227AD" w:rsidP="00CA6FD2">
      <w:pPr>
        <w:spacing w:before="0" w:after="0" w:line="240" w:lineRule="auto"/>
      </w:pPr>
      <w:r>
        <w:continuationSeparator/>
      </w:r>
    </w:p>
  </w:footnote>
  <w:footnote w:id="1">
    <w:p w:rsidR="00C227AD" w:rsidRDefault="00C227AD" w:rsidP="00CA6FD2">
      <w:pPr>
        <w:pStyle w:val="Notedebasdepage"/>
        <w:rPr>
          <w:i/>
          <w:iCs/>
          <w:sz w:val="16"/>
          <w:szCs w:val="16"/>
        </w:rPr>
      </w:pPr>
      <w:r>
        <w:rPr>
          <w:rStyle w:val="Appelnotedebasdep"/>
        </w:rPr>
        <w:footnoteRef/>
      </w:r>
      <w:r>
        <w:t xml:space="preserve"> </w:t>
      </w:r>
      <w:r>
        <w:rPr>
          <w:i/>
          <w:iCs/>
          <w:sz w:val="16"/>
          <w:szCs w:val="16"/>
        </w:rPr>
        <w:t xml:space="preserve">Arrêté Ministériel  n°73.02 du 01 </w:t>
      </w:r>
      <w:proofErr w:type="spellStart"/>
      <w:r>
        <w:rPr>
          <w:i/>
          <w:iCs/>
          <w:sz w:val="16"/>
          <w:szCs w:val="16"/>
        </w:rPr>
        <w:t>Kaâda</w:t>
      </w:r>
      <w:proofErr w:type="spellEnd"/>
      <w:r>
        <w:rPr>
          <w:i/>
          <w:iCs/>
          <w:sz w:val="16"/>
          <w:szCs w:val="16"/>
        </w:rPr>
        <w:t xml:space="preserve"> 1422 (16 janvier 2002) relatif à l’accréditation des EFPP</w:t>
      </w:r>
    </w:p>
  </w:footnote>
  <w:footnote w:id="2">
    <w:p w:rsidR="00C227AD" w:rsidRDefault="00C227AD" w:rsidP="00CA6FD2">
      <w:pPr>
        <w:pStyle w:val="Notedebasdepage"/>
        <w:rPr>
          <w:i/>
          <w:iCs/>
          <w:sz w:val="16"/>
          <w:szCs w:val="16"/>
        </w:rPr>
      </w:pPr>
      <w:r>
        <w:rPr>
          <w:rStyle w:val="Appelnotedebasdep"/>
        </w:rPr>
        <w:footnoteRef/>
      </w:r>
      <w:r>
        <w:t xml:space="preserve"> </w:t>
      </w:r>
      <w:r>
        <w:rPr>
          <w:i/>
          <w:iCs/>
          <w:sz w:val="16"/>
          <w:szCs w:val="16"/>
        </w:rPr>
        <w:t>Les titres reconnus par l’Etat, délivrés par les établissements accrédités à leurs lauréats sont de quatre niveaux :</w:t>
      </w:r>
    </w:p>
    <w:p w:rsidR="00C227AD" w:rsidRDefault="00C227AD" w:rsidP="00CA6FD2">
      <w:pPr>
        <w:pStyle w:val="Notedebasdepage"/>
        <w:numPr>
          <w:ilvl w:val="0"/>
          <w:numId w:val="16"/>
        </w:numPr>
        <w:tabs>
          <w:tab w:val="clear" w:pos="720"/>
          <w:tab w:val="num" w:pos="360"/>
        </w:tabs>
        <w:spacing w:before="0"/>
        <w:ind w:left="360"/>
        <w:jc w:val="both"/>
        <w:rPr>
          <w:i/>
          <w:iCs/>
          <w:sz w:val="16"/>
          <w:szCs w:val="16"/>
        </w:rPr>
      </w:pPr>
      <w:r>
        <w:rPr>
          <w:i/>
          <w:iCs/>
          <w:sz w:val="16"/>
          <w:szCs w:val="16"/>
        </w:rPr>
        <w:t>le certificat de spécialisation pour les filières de niveau spécialisation,</w:t>
      </w:r>
    </w:p>
    <w:p w:rsidR="00C227AD" w:rsidRDefault="00C227AD" w:rsidP="00CA6FD2">
      <w:pPr>
        <w:pStyle w:val="Notedebasdepage"/>
        <w:numPr>
          <w:ilvl w:val="0"/>
          <w:numId w:val="16"/>
        </w:numPr>
        <w:tabs>
          <w:tab w:val="clear" w:pos="720"/>
          <w:tab w:val="num" w:pos="360"/>
        </w:tabs>
        <w:spacing w:before="0"/>
        <w:ind w:left="360"/>
        <w:jc w:val="both"/>
        <w:rPr>
          <w:i/>
          <w:iCs/>
          <w:sz w:val="16"/>
          <w:szCs w:val="16"/>
        </w:rPr>
      </w:pPr>
      <w:r>
        <w:rPr>
          <w:i/>
          <w:iCs/>
          <w:sz w:val="16"/>
          <w:szCs w:val="16"/>
        </w:rPr>
        <w:t>le certificat de qualification professionnelle pour les filières de niveau qualification,</w:t>
      </w:r>
    </w:p>
    <w:p w:rsidR="00C227AD" w:rsidRDefault="00C227AD" w:rsidP="00CA6FD2">
      <w:pPr>
        <w:pStyle w:val="Notedebasdepage"/>
        <w:numPr>
          <w:ilvl w:val="0"/>
          <w:numId w:val="16"/>
        </w:numPr>
        <w:tabs>
          <w:tab w:val="clear" w:pos="720"/>
          <w:tab w:val="num" w:pos="360"/>
        </w:tabs>
        <w:spacing w:before="0"/>
        <w:ind w:left="360"/>
        <w:jc w:val="both"/>
        <w:rPr>
          <w:i/>
          <w:iCs/>
          <w:sz w:val="16"/>
          <w:szCs w:val="16"/>
        </w:rPr>
      </w:pPr>
      <w:r>
        <w:rPr>
          <w:i/>
          <w:iCs/>
          <w:sz w:val="16"/>
          <w:szCs w:val="16"/>
        </w:rPr>
        <w:t>le diplôme de technicien pour les filières de niveau technicien,</w:t>
      </w:r>
    </w:p>
    <w:p w:rsidR="00C227AD" w:rsidRDefault="00C227AD" w:rsidP="00CA6FD2">
      <w:pPr>
        <w:pStyle w:val="Notedebasdepage"/>
        <w:numPr>
          <w:ilvl w:val="0"/>
          <w:numId w:val="16"/>
        </w:numPr>
        <w:tabs>
          <w:tab w:val="clear" w:pos="720"/>
          <w:tab w:val="num" w:pos="360"/>
        </w:tabs>
        <w:spacing w:before="0"/>
        <w:ind w:left="360"/>
        <w:jc w:val="both"/>
        <w:rPr>
          <w:i/>
          <w:iCs/>
          <w:sz w:val="16"/>
          <w:szCs w:val="16"/>
        </w:rPr>
      </w:pPr>
      <w:r>
        <w:rPr>
          <w:i/>
          <w:iCs/>
          <w:sz w:val="16"/>
          <w:szCs w:val="16"/>
        </w:rPr>
        <w:t>le diplôme de technicien spécialisé pour les filières de niveau technicien spécialisé.</w:t>
      </w:r>
    </w:p>
  </w:footnote>
  <w:footnote w:id="3">
    <w:p w:rsidR="00C227AD" w:rsidRPr="00983F95" w:rsidRDefault="00C227AD" w:rsidP="00CA6FD2">
      <w:pPr>
        <w:pStyle w:val="Notedebasdepage"/>
        <w:rPr>
          <w:i/>
          <w:iCs/>
          <w:sz w:val="16"/>
          <w:szCs w:val="16"/>
        </w:rPr>
      </w:pPr>
      <w:r w:rsidRPr="00983F95">
        <w:rPr>
          <w:b/>
          <w:bCs/>
          <w:i/>
          <w:iCs/>
          <w:sz w:val="16"/>
          <w:szCs w:val="16"/>
        </w:rPr>
        <w:footnoteRef/>
      </w:r>
      <w:r w:rsidRPr="00983F95">
        <w:rPr>
          <w:b/>
          <w:bCs/>
          <w:i/>
          <w:iCs/>
          <w:sz w:val="16"/>
          <w:szCs w:val="16"/>
        </w:rPr>
        <w:t xml:space="preserve"> </w:t>
      </w:r>
      <w:r w:rsidRPr="00983F95">
        <w:rPr>
          <w:i/>
          <w:iCs/>
          <w:sz w:val="16"/>
          <w:szCs w:val="16"/>
        </w:rPr>
        <w:t xml:space="preserve">Voir modalités d’attribution des notes du stage en entreprises </w:t>
      </w:r>
    </w:p>
    <w:p w:rsidR="00C227AD" w:rsidRPr="00983F95" w:rsidRDefault="00C227AD" w:rsidP="00CA6FD2">
      <w:pPr>
        <w:pStyle w:val="Notedebasdepage"/>
        <w:rPr>
          <w:i/>
          <w:iCs/>
          <w:sz w:val="16"/>
          <w:szCs w:val="16"/>
        </w:rPr>
      </w:pPr>
      <w:proofErr w:type="gramStart"/>
      <w:r w:rsidRPr="00983F95">
        <w:rPr>
          <w:i/>
          <w:iCs/>
          <w:sz w:val="16"/>
          <w:szCs w:val="16"/>
        </w:rPr>
        <w:t>page</w:t>
      </w:r>
      <w:proofErr w:type="gramEnd"/>
      <w:r w:rsidRPr="00983F95">
        <w:rPr>
          <w:i/>
          <w:iCs/>
          <w:sz w:val="16"/>
          <w:szCs w:val="16"/>
        </w:rPr>
        <w:t xml:space="preserve"> suivante renvoi n°9.</w:t>
      </w:r>
    </w:p>
  </w:footnote>
  <w:footnote w:id="4">
    <w:p w:rsidR="00C227AD" w:rsidRPr="00983F95" w:rsidRDefault="00C227AD" w:rsidP="00CA6FD2">
      <w:pPr>
        <w:pStyle w:val="Notedebasdepage"/>
        <w:rPr>
          <w:i/>
          <w:iCs/>
          <w:sz w:val="16"/>
          <w:szCs w:val="16"/>
        </w:rPr>
      </w:pPr>
      <w:r w:rsidRPr="00983F95">
        <w:rPr>
          <w:i/>
          <w:iCs/>
          <w:sz w:val="16"/>
          <w:szCs w:val="16"/>
        </w:rPr>
        <w:footnoteRef/>
      </w:r>
      <w:r w:rsidRPr="00983F95">
        <w:rPr>
          <w:i/>
          <w:iCs/>
          <w:sz w:val="16"/>
          <w:szCs w:val="16"/>
        </w:rPr>
        <w:t xml:space="preserve"> Les soutenances des résultats des travaux individuels sont supervisées par le jury d’examens. Cependant, s’il ne peut faire face devant l’importance du nombre des soutenances, le jury d’examens peut se faire aider par deux types de jurys de soutenance : </w:t>
      </w:r>
    </w:p>
    <w:p w:rsidR="00C227AD" w:rsidRPr="00983F95" w:rsidRDefault="00C227AD" w:rsidP="00CA6FD2">
      <w:pPr>
        <w:pStyle w:val="Notedebasdepage"/>
        <w:numPr>
          <w:ilvl w:val="1"/>
          <w:numId w:val="16"/>
        </w:numPr>
        <w:tabs>
          <w:tab w:val="clear" w:pos="1440"/>
        </w:tabs>
        <w:spacing w:before="0"/>
        <w:ind w:left="360" w:hanging="180"/>
        <w:jc w:val="both"/>
        <w:rPr>
          <w:i/>
          <w:iCs/>
          <w:sz w:val="16"/>
          <w:szCs w:val="16"/>
        </w:rPr>
      </w:pPr>
      <w:r w:rsidRPr="00983F95">
        <w:rPr>
          <w:i/>
          <w:iCs/>
          <w:sz w:val="16"/>
          <w:szCs w:val="16"/>
        </w:rPr>
        <w:t>jurys de soutenance présidés par un des membres du jury d’examens ; par exemple un jury de cinq membres peut constituer jusqu’à cinq jurys de soutenance,</w:t>
      </w:r>
    </w:p>
    <w:p w:rsidR="00C227AD" w:rsidRPr="00983F95" w:rsidRDefault="00C227AD" w:rsidP="00CA6FD2">
      <w:pPr>
        <w:pStyle w:val="Notedebasdepage"/>
        <w:numPr>
          <w:ilvl w:val="1"/>
          <w:numId w:val="16"/>
        </w:numPr>
        <w:tabs>
          <w:tab w:val="clear" w:pos="1440"/>
        </w:tabs>
        <w:spacing w:before="0"/>
        <w:ind w:left="360" w:hanging="180"/>
        <w:jc w:val="both"/>
        <w:rPr>
          <w:i/>
          <w:iCs/>
          <w:sz w:val="16"/>
          <w:szCs w:val="16"/>
        </w:rPr>
      </w:pPr>
      <w:r w:rsidRPr="00983F95">
        <w:rPr>
          <w:i/>
          <w:iCs/>
          <w:sz w:val="16"/>
          <w:szCs w:val="16"/>
        </w:rPr>
        <w:t>si cela s’avère insuffisant, d’autres jurys de soutenance peuvent être proposés au jury d’examens pour étude et validation.</w:t>
      </w:r>
    </w:p>
    <w:p w:rsidR="00C227AD" w:rsidRPr="00983F95" w:rsidRDefault="00C227AD" w:rsidP="00CA6FD2">
      <w:pPr>
        <w:pStyle w:val="Notedebasdepage"/>
        <w:rPr>
          <w:i/>
          <w:iCs/>
          <w:sz w:val="16"/>
          <w:szCs w:val="16"/>
        </w:rPr>
      </w:pPr>
      <w:r w:rsidRPr="00983F95">
        <w:rPr>
          <w:i/>
          <w:iCs/>
          <w:sz w:val="16"/>
          <w:szCs w:val="16"/>
        </w:rPr>
        <w:t>Dans les deux cas la présence de professionnels est obligatoire.</w:t>
      </w:r>
    </w:p>
  </w:footnote>
  <w:footnote w:id="5">
    <w:p w:rsidR="00C227AD" w:rsidRPr="00C227AD" w:rsidRDefault="00C227AD" w:rsidP="00C227AD">
      <w:pPr>
        <w:pStyle w:val="Notedebasdepage"/>
        <w:ind w:right="-1"/>
        <w:jc w:val="both"/>
        <w:rPr>
          <w:i/>
          <w:iCs/>
          <w:sz w:val="16"/>
          <w:szCs w:val="16"/>
        </w:rPr>
      </w:pPr>
      <w:r w:rsidRPr="00C227AD">
        <w:rPr>
          <w:b/>
          <w:bCs/>
          <w:i/>
          <w:iCs/>
          <w:sz w:val="16"/>
          <w:szCs w:val="16"/>
        </w:rPr>
        <w:footnoteRef/>
      </w:r>
      <w:r w:rsidRPr="00C227AD">
        <w:rPr>
          <w:i/>
          <w:iCs/>
          <w:sz w:val="16"/>
          <w:szCs w:val="16"/>
        </w:rPr>
        <w:t xml:space="preserve"> C1.i et C2j : coefficient attribué à chaque unité de formation dispensée respectivement en 1</w:t>
      </w:r>
      <w:r w:rsidRPr="00C227AD">
        <w:rPr>
          <w:i/>
          <w:iCs/>
          <w:sz w:val="16"/>
          <w:szCs w:val="16"/>
          <w:vertAlign w:val="superscript"/>
        </w:rPr>
        <w:t>ère</w:t>
      </w:r>
      <w:r w:rsidRPr="00C227AD">
        <w:rPr>
          <w:i/>
          <w:iCs/>
          <w:sz w:val="16"/>
          <w:szCs w:val="16"/>
        </w:rPr>
        <w:t xml:space="preserve"> et 2</w:t>
      </w:r>
      <w:r w:rsidRPr="00C227AD">
        <w:rPr>
          <w:i/>
          <w:iCs/>
          <w:sz w:val="16"/>
          <w:szCs w:val="16"/>
          <w:vertAlign w:val="superscript"/>
        </w:rPr>
        <w:t>ème</w:t>
      </w:r>
      <w:r w:rsidRPr="00C227AD">
        <w:rPr>
          <w:i/>
          <w:iCs/>
          <w:sz w:val="16"/>
          <w:szCs w:val="16"/>
        </w:rPr>
        <w:t xml:space="preserve"> année .Ces coefficients doivent refléter l’importance des unités de formation dans la filière conformément aux normes de qualification des filières. Le total des coefficients doit être le même pour chaque année de formation.</w:t>
      </w:r>
    </w:p>
  </w:footnote>
  <w:footnote w:id="6">
    <w:p w:rsidR="00C227AD" w:rsidRPr="00C227AD" w:rsidRDefault="00C227AD" w:rsidP="00C227AD">
      <w:pPr>
        <w:pStyle w:val="Notedebasdepage"/>
        <w:ind w:right="-1"/>
        <w:jc w:val="both"/>
        <w:rPr>
          <w:i/>
          <w:iCs/>
          <w:sz w:val="16"/>
          <w:szCs w:val="16"/>
        </w:rPr>
      </w:pPr>
      <w:r w:rsidRPr="00C227AD">
        <w:rPr>
          <w:b/>
          <w:bCs/>
          <w:i/>
          <w:iCs/>
          <w:sz w:val="16"/>
          <w:szCs w:val="16"/>
        </w:rPr>
        <w:footnoteRef/>
      </w:r>
      <w:r w:rsidRPr="00C227AD">
        <w:rPr>
          <w:i/>
          <w:iCs/>
          <w:sz w:val="16"/>
          <w:szCs w:val="16"/>
        </w:rPr>
        <w:t xml:space="preserve"> Les contrôles continus sont effectués, sur les aspects théoriques et pratiques, au cours et en fin de chaque séquence pédagogique. La moyenne des notes obtenues aux différents contrôles continus dans une même unité de formation représente 30% de la moyenne générale.</w:t>
      </w:r>
    </w:p>
  </w:footnote>
  <w:footnote w:id="7">
    <w:p w:rsidR="00C227AD" w:rsidRPr="00C227AD" w:rsidRDefault="00C227AD" w:rsidP="00C227AD">
      <w:pPr>
        <w:pStyle w:val="Notedebasdepage"/>
        <w:ind w:right="-1"/>
        <w:jc w:val="both"/>
        <w:rPr>
          <w:i/>
          <w:iCs/>
          <w:sz w:val="16"/>
          <w:szCs w:val="16"/>
        </w:rPr>
      </w:pPr>
      <w:r w:rsidRPr="00C227AD">
        <w:rPr>
          <w:b/>
          <w:bCs/>
          <w:i/>
          <w:iCs/>
          <w:sz w:val="16"/>
          <w:szCs w:val="16"/>
        </w:rPr>
        <w:footnoteRef/>
      </w:r>
      <w:r w:rsidRPr="00C227AD">
        <w:rPr>
          <w:i/>
          <w:iCs/>
          <w:sz w:val="16"/>
          <w:szCs w:val="16"/>
        </w:rPr>
        <w:t xml:space="preserve"> L’EFCF Théorique représente la note obtenue à l’Examen de Fin de Cursus de formation. Il s’agit de l’examen de synthèse, des connaissances théoriques, effectué à la fin de chaque unité de formation. Il représente 20%.</w:t>
      </w:r>
    </w:p>
  </w:footnote>
  <w:footnote w:id="8">
    <w:p w:rsidR="00C227AD" w:rsidRPr="00C227AD" w:rsidRDefault="00C227AD" w:rsidP="00C227AD">
      <w:pPr>
        <w:pStyle w:val="Notedebasdepage"/>
        <w:ind w:right="-1"/>
        <w:jc w:val="both"/>
        <w:rPr>
          <w:b/>
          <w:bCs/>
          <w:i/>
          <w:iCs/>
          <w:sz w:val="16"/>
          <w:szCs w:val="16"/>
        </w:rPr>
      </w:pPr>
      <w:r w:rsidRPr="00C227AD">
        <w:rPr>
          <w:b/>
          <w:bCs/>
          <w:i/>
          <w:iCs/>
          <w:sz w:val="16"/>
          <w:szCs w:val="16"/>
        </w:rPr>
        <w:footnoteRef/>
      </w:r>
      <w:r w:rsidRPr="00C227AD">
        <w:rPr>
          <w:i/>
          <w:iCs/>
          <w:sz w:val="16"/>
          <w:szCs w:val="16"/>
        </w:rPr>
        <w:t xml:space="preserve"> L’EFCF Pratique représente la note obtenue à l’Examen de Fin de Cursus de formation. Il s’agit de l’examen de synthèse, des savoir-faire pratiques, effectué à la fin de chaque unité de formation. Il représente 30%.</w:t>
      </w:r>
    </w:p>
  </w:footnote>
  <w:footnote w:id="9">
    <w:p w:rsidR="00C227AD" w:rsidRPr="00C227AD" w:rsidRDefault="00C227AD" w:rsidP="00C227AD">
      <w:pPr>
        <w:pStyle w:val="Notedebasdepage"/>
        <w:ind w:right="-1"/>
        <w:jc w:val="both"/>
        <w:rPr>
          <w:i/>
          <w:iCs/>
          <w:sz w:val="16"/>
          <w:szCs w:val="16"/>
        </w:rPr>
      </w:pPr>
      <w:r w:rsidRPr="00C227AD">
        <w:rPr>
          <w:b/>
          <w:bCs/>
          <w:i/>
          <w:iCs/>
          <w:sz w:val="16"/>
          <w:szCs w:val="16"/>
        </w:rPr>
        <w:footnoteRef/>
      </w:r>
      <w:r w:rsidRPr="00C227AD">
        <w:rPr>
          <w:i/>
          <w:iCs/>
          <w:sz w:val="16"/>
          <w:szCs w:val="16"/>
        </w:rPr>
        <w:t xml:space="preserve"> Conformément aux normes de qualification des filières, le stage en entreprise constitue une unité de formation à part entière et à ce titre doit être évalué. La note « contrôles continus » représente l’évaluation effectuée conjointement par le formateur chargé du suivi du stagiaire et le tuteur en entreprise. La note EFCF Théorique est la note attribuée, par le(s) formateur(s), aux aspects théoriques et conceptuels développés par le stagiaire dans son rapport de stage. La note EFCF Pratique représente la note attribuée par le tuteur en entreprise aux activités pratiques et techniques, réalisées par le stagiaire en stages, dont la description est formalisée par le stagiaire dans son rapport et validée par le tuteur.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AD" w:rsidRPr="00E46E40" w:rsidRDefault="00C227AD" w:rsidP="00C227AD">
    <w:pPr>
      <w:pBdr>
        <w:bottom w:val="single" w:sz="4" w:space="1" w:color="auto"/>
      </w:pBdr>
      <w:shd w:val="clear" w:color="auto" w:fill="D9D9D9"/>
      <w:tabs>
        <w:tab w:val="center" w:pos="4536"/>
        <w:tab w:val="right" w:pos="9072"/>
      </w:tabs>
      <w:spacing w:before="0" w:after="0" w:line="240" w:lineRule="auto"/>
      <w:jc w:val="center"/>
      <w:rPr>
        <w:b/>
        <w:bCs/>
        <w:sz w:val="16"/>
        <w:szCs w:val="16"/>
      </w:rPr>
    </w:pPr>
    <w:r w:rsidRPr="00E46E40">
      <w:rPr>
        <w:b/>
        <w:bCs/>
        <w:sz w:val="16"/>
        <w:szCs w:val="16"/>
      </w:rPr>
      <w:t xml:space="preserve">Extrait de l’arrêté </w:t>
    </w:r>
    <w:r w:rsidRPr="00E46E40">
      <w:rPr>
        <w:rFonts w:asciiTheme="minorHAnsi" w:hAnsiTheme="minorHAnsi" w:cstheme="minorHAnsi"/>
        <w:b/>
        <w:bCs/>
        <w:sz w:val="16"/>
        <w:szCs w:val="16"/>
        <w:lang w:eastAsia="fr-FR"/>
      </w:rPr>
      <w:t xml:space="preserve">n° </w:t>
    </w:r>
    <w:r>
      <w:rPr>
        <w:rFonts w:asciiTheme="minorHAnsi" w:hAnsiTheme="minorHAnsi" w:cstheme="minorHAnsi"/>
        <w:b/>
        <w:bCs/>
        <w:sz w:val="16"/>
        <w:szCs w:val="16"/>
        <w:lang w:eastAsia="fr-FR"/>
      </w:rPr>
      <w:t>73</w:t>
    </w:r>
    <w:r w:rsidRPr="00E46E40">
      <w:rPr>
        <w:rFonts w:asciiTheme="minorHAnsi" w:hAnsiTheme="minorHAnsi" w:cstheme="minorHAnsi"/>
        <w:b/>
        <w:bCs/>
        <w:sz w:val="16"/>
        <w:szCs w:val="16"/>
        <w:lang w:eastAsia="fr-FR"/>
      </w:rPr>
      <w:t>-0</w:t>
    </w:r>
    <w:r>
      <w:rPr>
        <w:rFonts w:asciiTheme="minorHAnsi" w:hAnsiTheme="minorHAnsi" w:cstheme="minorHAnsi"/>
        <w:b/>
        <w:bCs/>
        <w:sz w:val="16"/>
        <w:szCs w:val="16"/>
        <w:lang w:eastAsia="fr-FR"/>
      </w:rPr>
      <w:t>2</w:t>
    </w:r>
    <w:r w:rsidRPr="00E46E40">
      <w:rPr>
        <w:rFonts w:asciiTheme="minorHAnsi" w:hAnsiTheme="minorHAnsi" w:cstheme="minorHAnsi"/>
        <w:b/>
        <w:bCs/>
        <w:sz w:val="16"/>
        <w:szCs w:val="16"/>
        <w:lang w:eastAsia="fr-FR"/>
      </w:rPr>
      <w:t xml:space="preserve"> du </w:t>
    </w:r>
    <w:r>
      <w:rPr>
        <w:rFonts w:asciiTheme="minorHAnsi" w:hAnsiTheme="minorHAnsi" w:cstheme="minorHAnsi"/>
        <w:b/>
        <w:bCs/>
        <w:sz w:val="16"/>
        <w:szCs w:val="16"/>
        <w:lang w:eastAsia="fr-FR"/>
      </w:rPr>
      <w:t>16 janvier 2002 relatif à</w:t>
    </w:r>
    <w:r w:rsidRPr="00E46E40">
      <w:rPr>
        <w:rFonts w:asciiTheme="minorHAnsi" w:hAnsiTheme="minorHAnsi" w:cstheme="minorHAnsi"/>
        <w:b/>
        <w:bCs/>
        <w:sz w:val="16"/>
        <w:szCs w:val="16"/>
        <w:lang w:eastAsia="fr-FR"/>
      </w:rPr>
      <w:t xml:space="preserve"> </w:t>
    </w:r>
    <w:r>
      <w:rPr>
        <w:rFonts w:asciiTheme="minorHAnsi" w:hAnsiTheme="minorHAnsi" w:cstheme="minorHAnsi"/>
        <w:b/>
        <w:bCs/>
        <w:sz w:val="16"/>
        <w:szCs w:val="16"/>
        <w:lang w:eastAsia="fr-FR"/>
      </w:rPr>
      <w:t>l’accréditation des EFPP</w:t>
    </w:r>
  </w:p>
  <w:p w:rsidR="00C227AD" w:rsidRPr="003957D6" w:rsidRDefault="00C227AD" w:rsidP="00C227AD">
    <w:pPr>
      <w:pStyle w:val="En-tte"/>
      <w:tabs>
        <w:tab w:val="right" w:pos="9180"/>
      </w:tabs>
      <w:ind w:right="-109"/>
      <w:rPr>
        <w:rFonts w:ascii="Comic Sans MS" w:hAnsi="Comic Sans MS"/>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AD" w:rsidRPr="00E46E40" w:rsidRDefault="00C227AD" w:rsidP="00C227AD">
    <w:pPr>
      <w:pBdr>
        <w:bottom w:val="single" w:sz="4" w:space="1" w:color="auto"/>
      </w:pBdr>
      <w:shd w:val="clear" w:color="auto" w:fill="D9D9D9"/>
      <w:tabs>
        <w:tab w:val="center" w:pos="4536"/>
        <w:tab w:val="right" w:pos="9072"/>
      </w:tabs>
      <w:spacing w:before="0" w:after="0" w:line="240" w:lineRule="auto"/>
      <w:jc w:val="center"/>
      <w:rPr>
        <w:b/>
        <w:bCs/>
        <w:sz w:val="16"/>
        <w:szCs w:val="16"/>
      </w:rPr>
    </w:pPr>
    <w:r w:rsidRPr="00E46E40">
      <w:rPr>
        <w:b/>
        <w:bCs/>
        <w:sz w:val="16"/>
        <w:szCs w:val="16"/>
      </w:rPr>
      <w:t xml:space="preserve">Extrait de l’arrêté </w:t>
    </w:r>
    <w:r w:rsidRPr="00E46E40">
      <w:rPr>
        <w:rFonts w:asciiTheme="minorHAnsi" w:hAnsiTheme="minorHAnsi" w:cstheme="minorHAnsi"/>
        <w:b/>
        <w:bCs/>
        <w:sz w:val="16"/>
        <w:szCs w:val="16"/>
        <w:lang w:eastAsia="fr-FR"/>
      </w:rPr>
      <w:t xml:space="preserve">n° </w:t>
    </w:r>
    <w:r>
      <w:rPr>
        <w:rFonts w:asciiTheme="minorHAnsi" w:hAnsiTheme="minorHAnsi" w:cstheme="minorHAnsi"/>
        <w:b/>
        <w:bCs/>
        <w:sz w:val="16"/>
        <w:szCs w:val="16"/>
        <w:lang w:eastAsia="fr-FR"/>
      </w:rPr>
      <w:t>73</w:t>
    </w:r>
    <w:r w:rsidRPr="00E46E40">
      <w:rPr>
        <w:rFonts w:asciiTheme="minorHAnsi" w:hAnsiTheme="minorHAnsi" w:cstheme="minorHAnsi"/>
        <w:b/>
        <w:bCs/>
        <w:sz w:val="16"/>
        <w:szCs w:val="16"/>
        <w:lang w:eastAsia="fr-FR"/>
      </w:rPr>
      <w:t>-0</w:t>
    </w:r>
    <w:r>
      <w:rPr>
        <w:rFonts w:asciiTheme="minorHAnsi" w:hAnsiTheme="minorHAnsi" w:cstheme="minorHAnsi"/>
        <w:b/>
        <w:bCs/>
        <w:sz w:val="16"/>
        <w:szCs w:val="16"/>
        <w:lang w:eastAsia="fr-FR"/>
      </w:rPr>
      <w:t>2</w:t>
    </w:r>
    <w:r w:rsidRPr="00E46E40">
      <w:rPr>
        <w:rFonts w:asciiTheme="minorHAnsi" w:hAnsiTheme="minorHAnsi" w:cstheme="minorHAnsi"/>
        <w:b/>
        <w:bCs/>
        <w:sz w:val="16"/>
        <w:szCs w:val="16"/>
        <w:lang w:eastAsia="fr-FR"/>
      </w:rPr>
      <w:t xml:space="preserve"> du </w:t>
    </w:r>
    <w:r>
      <w:rPr>
        <w:rFonts w:asciiTheme="minorHAnsi" w:hAnsiTheme="minorHAnsi" w:cstheme="minorHAnsi"/>
        <w:b/>
        <w:bCs/>
        <w:sz w:val="16"/>
        <w:szCs w:val="16"/>
        <w:lang w:eastAsia="fr-FR"/>
      </w:rPr>
      <w:t>16 janvier 2002 relatif à</w:t>
    </w:r>
    <w:r w:rsidRPr="00E46E40">
      <w:rPr>
        <w:rFonts w:asciiTheme="minorHAnsi" w:hAnsiTheme="minorHAnsi" w:cstheme="minorHAnsi"/>
        <w:b/>
        <w:bCs/>
        <w:sz w:val="16"/>
        <w:szCs w:val="16"/>
        <w:lang w:eastAsia="fr-FR"/>
      </w:rPr>
      <w:t xml:space="preserve"> </w:t>
    </w:r>
    <w:r>
      <w:rPr>
        <w:rFonts w:asciiTheme="minorHAnsi" w:hAnsiTheme="minorHAnsi" w:cstheme="minorHAnsi"/>
        <w:b/>
        <w:bCs/>
        <w:sz w:val="16"/>
        <w:szCs w:val="16"/>
        <w:lang w:eastAsia="fr-FR"/>
      </w:rPr>
      <w:t>l’accréditation des EFPP</w:t>
    </w:r>
  </w:p>
  <w:p w:rsidR="00C227AD" w:rsidRDefault="00C227AD">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AD" w:rsidRPr="00F73DA2" w:rsidRDefault="00C227AD" w:rsidP="00C227AD">
    <w:pPr>
      <w:pStyle w:val="En-tte"/>
      <w:tabs>
        <w:tab w:val="right" w:pos="9180"/>
      </w:tabs>
      <w:ind w:right="-109"/>
      <w:rPr>
        <w:rFonts w:ascii="Comic Sans MS" w:hAnsi="Comic Sans MS"/>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624D5"/>
    <w:multiLevelType w:val="hybridMultilevel"/>
    <w:tmpl w:val="57A00EB6"/>
    <w:lvl w:ilvl="0" w:tplc="DD0CABBE">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
    <w:nsid w:val="12B321D2"/>
    <w:multiLevelType w:val="hybridMultilevel"/>
    <w:tmpl w:val="3EE2F60E"/>
    <w:lvl w:ilvl="0" w:tplc="040C0017">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
    <w:nsid w:val="15B731DB"/>
    <w:multiLevelType w:val="hybridMultilevel"/>
    <w:tmpl w:val="CD58361C"/>
    <w:lvl w:ilvl="0" w:tplc="040C000F">
      <w:start w:val="1"/>
      <w:numFmt w:val="decimal"/>
      <w:lvlText w:val="%1."/>
      <w:lvlJc w:val="left"/>
      <w:pPr>
        <w:ind w:left="1584" w:hanging="360"/>
      </w:pPr>
    </w:lvl>
    <w:lvl w:ilvl="1" w:tplc="040C0019" w:tentative="1">
      <w:start w:val="1"/>
      <w:numFmt w:val="lowerLetter"/>
      <w:lvlText w:val="%2."/>
      <w:lvlJc w:val="left"/>
      <w:pPr>
        <w:ind w:left="2304" w:hanging="360"/>
      </w:pPr>
    </w:lvl>
    <w:lvl w:ilvl="2" w:tplc="040C001B" w:tentative="1">
      <w:start w:val="1"/>
      <w:numFmt w:val="lowerRoman"/>
      <w:lvlText w:val="%3."/>
      <w:lvlJc w:val="right"/>
      <w:pPr>
        <w:ind w:left="3024" w:hanging="180"/>
      </w:pPr>
    </w:lvl>
    <w:lvl w:ilvl="3" w:tplc="040C000F" w:tentative="1">
      <w:start w:val="1"/>
      <w:numFmt w:val="decimal"/>
      <w:lvlText w:val="%4."/>
      <w:lvlJc w:val="left"/>
      <w:pPr>
        <w:ind w:left="3744" w:hanging="360"/>
      </w:pPr>
    </w:lvl>
    <w:lvl w:ilvl="4" w:tplc="040C0019" w:tentative="1">
      <w:start w:val="1"/>
      <w:numFmt w:val="lowerLetter"/>
      <w:lvlText w:val="%5."/>
      <w:lvlJc w:val="left"/>
      <w:pPr>
        <w:ind w:left="4464" w:hanging="360"/>
      </w:pPr>
    </w:lvl>
    <w:lvl w:ilvl="5" w:tplc="040C001B" w:tentative="1">
      <w:start w:val="1"/>
      <w:numFmt w:val="lowerRoman"/>
      <w:lvlText w:val="%6."/>
      <w:lvlJc w:val="right"/>
      <w:pPr>
        <w:ind w:left="5184" w:hanging="180"/>
      </w:pPr>
    </w:lvl>
    <w:lvl w:ilvl="6" w:tplc="040C000F" w:tentative="1">
      <w:start w:val="1"/>
      <w:numFmt w:val="decimal"/>
      <w:lvlText w:val="%7."/>
      <w:lvlJc w:val="left"/>
      <w:pPr>
        <w:ind w:left="5904" w:hanging="360"/>
      </w:pPr>
    </w:lvl>
    <w:lvl w:ilvl="7" w:tplc="040C0019" w:tentative="1">
      <w:start w:val="1"/>
      <w:numFmt w:val="lowerLetter"/>
      <w:lvlText w:val="%8."/>
      <w:lvlJc w:val="left"/>
      <w:pPr>
        <w:ind w:left="6624" w:hanging="360"/>
      </w:pPr>
    </w:lvl>
    <w:lvl w:ilvl="8" w:tplc="040C001B" w:tentative="1">
      <w:start w:val="1"/>
      <w:numFmt w:val="lowerRoman"/>
      <w:lvlText w:val="%9."/>
      <w:lvlJc w:val="right"/>
      <w:pPr>
        <w:ind w:left="7344" w:hanging="180"/>
      </w:pPr>
    </w:lvl>
  </w:abstractNum>
  <w:abstractNum w:abstractNumId="3">
    <w:nsid w:val="220B3EF2"/>
    <w:multiLevelType w:val="hybridMultilevel"/>
    <w:tmpl w:val="0A8CE714"/>
    <w:lvl w:ilvl="0" w:tplc="96C8FBF4">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
    <w:nsid w:val="26E9656C"/>
    <w:multiLevelType w:val="hybridMultilevel"/>
    <w:tmpl w:val="69B4BA9A"/>
    <w:lvl w:ilvl="0" w:tplc="040C000F">
      <w:start w:val="1"/>
      <w:numFmt w:val="decimal"/>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5">
    <w:nsid w:val="2E7F7E0C"/>
    <w:multiLevelType w:val="hybridMultilevel"/>
    <w:tmpl w:val="A9D0076A"/>
    <w:lvl w:ilvl="0" w:tplc="CA0815B6">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6">
    <w:nsid w:val="31B82972"/>
    <w:multiLevelType w:val="hybridMultilevel"/>
    <w:tmpl w:val="5CE07116"/>
    <w:lvl w:ilvl="0" w:tplc="9B827424">
      <w:start w:val="1"/>
      <w:numFmt w:val="bullet"/>
      <w:lvlText w:val=""/>
      <w:lvlJc w:val="left"/>
      <w:pPr>
        <w:tabs>
          <w:tab w:val="num" w:pos="864"/>
        </w:tabs>
        <w:ind w:left="864" w:hanging="360"/>
      </w:pPr>
      <w:rPr>
        <w:rFonts w:ascii="Wingdings" w:hAnsi="Wingdings" w:hint="default"/>
        <w:b/>
        <w:bCs w:val="0"/>
      </w:rPr>
    </w:lvl>
    <w:lvl w:ilvl="1" w:tplc="040C0003" w:tentative="1">
      <w:start w:val="1"/>
      <w:numFmt w:val="bullet"/>
      <w:lvlText w:val="o"/>
      <w:lvlJc w:val="left"/>
      <w:pPr>
        <w:tabs>
          <w:tab w:val="num" w:pos="1584"/>
        </w:tabs>
        <w:ind w:left="1584" w:hanging="360"/>
      </w:pPr>
      <w:rPr>
        <w:rFonts w:ascii="Courier New" w:hAnsi="Courier New" w:hint="default"/>
      </w:rPr>
    </w:lvl>
    <w:lvl w:ilvl="2" w:tplc="040C0005" w:tentative="1">
      <w:start w:val="1"/>
      <w:numFmt w:val="bullet"/>
      <w:lvlText w:val=""/>
      <w:lvlJc w:val="left"/>
      <w:pPr>
        <w:tabs>
          <w:tab w:val="num" w:pos="2304"/>
        </w:tabs>
        <w:ind w:left="2304" w:hanging="360"/>
      </w:pPr>
      <w:rPr>
        <w:rFonts w:ascii="Wingdings" w:hAnsi="Wingdings" w:hint="default"/>
      </w:rPr>
    </w:lvl>
    <w:lvl w:ilvl="3" w:tplc="040C0001" w:tentative="1">
      <w:start w:val="1"/>
      <w:numFmt w:val="bullet"/>
      <w:lvlText w:val=""/>
      <w:lvlJc w:val="left"/>
      <w:pPr>
        <w:tabs>
          <w:tab w:val="num" w:pos="3024"/>
        </w:tabs>
        <w:ind w:left="3024" w:hanging="360"/>
      </w:pPr>
      <w:rPr>
        <w:rFonts w:ascii="Symbol" w:hAnsi="Symbol" w:hint="default"/>
      </w:rPr>
    </w:lvl>
    <w:lvl w:ilvl="4" w:tplc="040C0003" w:tentative="1">
      <w:start w:val="1"/>
      <w:numFmt w:val="bullet"/>
      <w:lvlText w:val="o"/>
      <w:lvlJc w:val="left"/>
      <w:pPr>
        <w:tabs>
          <w:tab w:val="num" w:pos="3744"/>
        </w:tabs>
        <w:ind w:left="3744" w:hanging="360"/>
      </w:pPr>
      <w:rPr>
        <w:rFonts w:ascii="Courier New" w:hAnsi="Courier New" w:hint="default"/>
      </w:rPr>
    </w:lvl>
    <w:lvl w:ilvl="5" w:tplc="040C0005" w:tentative="1">
      <w:start w:val="1"/>
      <w:numFmt w:val="bullet"/>
      <w:lvlText w:val=""/>
      <w:lvlJc w:val="left"/>
      <w:pPr>
        <w:tabs>
          <w:tab w:val="num" w:pos="4464"/>
        </w:tabs>
        <w:ind w:left="4464" w:hanging="360"/>
      </w:pPr>
      <w:rPr>
        <w:rFonts w:ascii="Wingdings" w:hAnsi="Wingdings" w:hint="default"/>
      </w:rPr>
    </w:lvl>
    <w:lvl w:ilvl="6" w:tplc="040C0001" w:tentative="1">
      <w:start w:val="1"/>
      <w:numFmt w:val="bullet"/>
      <w:lvlText w:val=""/>
      <w:lvlJc w:val="left"/>
      <w:pPr>
        <w:tabs>
          <w:tab w:val="num" w:pos="5184"/>
        </w:tabs>
        <w:ind w:left="5184" w:hanging="360"/>
      </w:pPr>
      <w:rPr>
        <w:rFonts w:ascii="Symbol" w:hAnsi="Symbol" w:hint="default"/>
      </w:rPr>
    </w:lvl>
    <w:lvl w:ilvl="7" w:tplc="040C0003" w:tentative="1">
      <w:start w:val="1"/>
      <w:numFmt w:val="bullet"/>
      <w:lvlText w:val="o"/>
      <w:lvlJc w:val="left"/>
      <w:pPr>
        <w:tabs>
          <w:tab w:val="num" w:pos="5904"/>
        </w:tabs>
        <w:ind w:left="5904" w:hanging="360"/>
      </w:pPr>
      <w:rPr>
        <w:rFonts w:ascii="Courier New" w:hAnsi="Courier New" w:hint="default"/>
      </w:rPr>
    </w:lvl>
    <w:lvl w:ilvl="8" w:tplc="040C0005" w:tentative="1">
      <w:start w:val="1"/>
      <w:numFmt w:val="bullet"/>
      <w:lvlText w:val=""/>
      <w:lvlJc w:val="left"/>
      <w:pPr>
        <w:tabs>
          <w:tab w:val="num" w:pos="6624"/>
        </w:tabs>
        <w:ind w:left="6624" w:hanging="360"/>
      </w:pPr>
      <w:rPr>
        <w:rFonts w:ascii="Wingdings" w:hAnsi="Wingdings" w:hint="default"/>
      </w:rPr>
    </w:lvl>
  </w:abstractNum>
  <w:abstractNum w:abstractNumId="7">
    <w:nsid w:val="3CE84E60"/>
    <w:multiLevelType w:val="hybridMultilevel"/>
    <w:tmpl w:val="BA58536C"/>
    <w:lvl w:ilvl="0" w:tplc="9B827424">
      <w:start w:val="1"/>
      <w:numFmt w:val="bullet"/>
      <w:lvlText w:val=""/>
      <w:lvlJc w:val="left"/>
      <w:pPr>
        <w:tabs>
          <w:tab w:val="num" w:pos="864"/>
        </w:tabs>
        <w:ind w:left="864" w:hanging="360"/>
      </w:pPr>
      <w:rPr>
        <w:rFonts w:ascii="Wingdings" w:hAnsi="Wingdings" w:hint="default"/>
        <w:b/>
        <w:bCs w:val="0"/>
      </w:rPr>
    </w:lvl>
    <w:lvl w:ilvl="1" w:tplc="040C0003" w:tentative="1">
      <w:start w:val="1"/>
      <w:numFmt w:val="bullet"/>
      <w:lvlText w:val="o"/>
      <w:lvlJc w:val="left"/>
      <w:pPr>
        <w:tabs>
          <w:tab w:val="num" w:pos="1584"/>
        </w:tabs>
        <w:ind w:left="1584" w:hanging="360"/>
      </w:pPr>
      <w:rPr>
        <w:rFonts w:ascii="Courier New" w:hAnsi="Courier New" w:hint="default"/>
      </w:rPr>
    </w:lvl>
    <w:lvl w:ilvl="2" w:tplc="040C0005" w:tentative="1">
      <w:start w:val="1"/>
      <w:numFmt w:val="bullet"/>
      <w:lvlText w:val=""/>
      <w:lvlJc w:val="left"/>
      <w:pPr>
        <w:tabs>
          <w:tab w:val="num" w:pos="2304"/>
        </w:tabs>
        <w:ind w:left="2304" w:hanging="360"/>
      </w:pPr>
      <w:rPr>
        <w:rFonts w:ascii="Wingdings" w:hAnsi="Wingdings" w:hint="default"/>
      </w:rPr>
    </w:lvl>
    <w:lvl w:ilvl="3" w:tplc="040C0001" w:tentative="1">
      <w:start w:val="1"/>
      <w:numFmt w:val="bullet"/>
      <w:lvlText w:val=""/>
      <w:lvlJc w:val="left"/>
      <w:pPr>
        <w:tabs>
          <w:tab w:val="num" w:pos="3024"/>
        </w:tabs>
        <w:ind w:left="3024" w:hanging="360"/>
      </w:pPr>
      <w:rPr>
        <w:rFonts w:ascii="Symbol" w:hAnsi="Symbol" w:hint="default"/>
      </w:rPr>
    </w:lvl>
    <w:lvl w:ilvl="4" w:tplc="040C0003" w:tentative="1">
      <w:start w:val="1"/>
      <w:numFmt w:val="bullet"/>
      <w:lvlText w:val="o"/>
      <w:lvlJc w:val="left"/>
      <w:pPr>
        <w:tabs>
          <w:tab w:val="num" w:pos="3744"/>
        </w:tabs>
        <w:ind w:left="3744" w:hanging="360"/>
      </w:pPr>
      <w:rPr>
        <w:rFonts w:ascii="Courier New" w:hAnsi="Courier New" w:hint="default"/>
      </w:rPr>
    </w:lvl>
    <w:lvl w:ilvl="5" w:tplc="040C0005" w:tentative="1">
      <w:start w:val="1"/>
      <w:numFmt w:val="bullet"/>
      <w:lvlText w:val=""/>
      <w:lvlJc w:val="left"/>
      <w:pPr>
        <w:tabs>
          <w:tab w:val="num" w:pos="4464"/>
        </w:tabs>
        <w:ind w:left="4464" w:hanging="360"/>
      </w:pPr>
      <w:rPr>
        <w:rFonts w:ascii="Wingdings" w:hAnsi="Wingdings" w:hint="default"/>
      </w:rPr>
    </w:lvl>
    <w:lvl w:ilvl="6" w:tplc="040C0001" w:tentative="1">
      <w:start w:val="1"/>
      <w:numFmt w:val="bullet"/>
      <w:lvlText w:val=""/>
      <w:lvlJc w:val="left"/>
      <w:pPr>
        <w:tabs>
          <w:tab w:val="num" w:pos="5184"/>
        </w:tabs>
        <w:ind w:left="5184" w:hanging="360"/>
      </w:pPr>
      <w:rPr>
        <w:rFonts w:ascii="Symbol" w:hAnsi="Symbol" w:hint="default"/>
      </w:rPr>
    </w:lvl>
    <w:lvl w:ilvl="7" w:tplc="040C0003" w:tentative="1">
      <w:start w:val="1"/>
      <w:numFmt w:val="bullet"/>
      <w:lvlText w:val="o"/>
      <w:lvlJc w:val="left"/>
      <w:pPr>
        <w:tabs>
          <w:tab w:val="num" w:pos="5904"/>
        </w:tabs>
        <w:ind w:left="5904" w:hanging="360"/>
      </w:pPr>
      <w:rPr>
        <w:rFonts w:ascii="Courier New" w:hAnsi="Courier New" w:hint="default"/>
      </w:rPr>
    </w:lvl>
    <w:lvl w:ilvl="8" w:tplc="040C0005" w:tentative="1">
      <w:start w:val="1"/>
      <w:numFmt w:val="bullet"/>
      <w:lvlText w:val=""/>
      <w:lvlJc w:val="left"/>
      <w:pPr>
        <w:tabs>
          <w:tab w:val="num" w:pos="6624"/>
        </w:tabs>
        <w:ind w:left="6624" w:hanging="360"/>
      </w:pPr>
      <w:rPr>
        <w:rFonts w:ascii="Wingdings" w:hAnsi="Wingdings" w:hint="default"/>
      </w:rPr>
    </w:lvl>
  </w:abstractNum>
  <w:abstractNum w:abstractNumId="8">
    <w:nsid w:val="3EAE5DCD"/>
    <w:multiLevelType w:val="hybridMultilevel"/>
    <w:tmpl w:val="7CEABAD0"/>
    <w:lvl w:ilvl="0" w:tplc="BD6A067E">
      <w:start w:val="3"/>
      <w:numFmt w:val="bullet"/>
      <w:lvlText w:val="-"/>
      <w:lvlJc w:val="left"/>
      <w:pPr>
        <w:ind w:left="1146" w:hanging="360"/>
      </w:pPr>
      <w:rPr>
        <w:rFonts w:ascii="ComicSansMS" w:eastAsiaTheme="minorHAnsi" w:hAnsi="ComicSansMS" w:cs="ComicSansM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nsid w:val="421907EE"/>
    <w:multiLevelType w:val="hybridMultilevel"/>
    <w:tmpl w:val="B5B21C96"/>
    <w:lvl w:ilvl="0" w:tplc="13F4D29A">
      <w:start w:val="1"/>
      <w:numFmt w:val="bullet"/>
      <w:lvlText w:val=""/>
      <w:lvlJc w:val="left"/>
      <w:pPr>
        <w:ind w:left="1146" w:hanging="360"/>
      </w:pPr>
      <w:rPr>
        <w:rFonts w:ascii="Symbol" w:hAnsi="Symbol" w:hint="default"/>
        <w:sz w:val="18"/>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nsid w:val="46061C08"/>
    <w:multiLevelType w:val="hybridMultilevel"/>
    <w:tmpl w:val="14127F0A"/>
    <w:lvl w:ilvl="0" w:tplc="9B827424">
      <w:start w:val="1"/>
      <w:numFmt w:val="bullet"/>
      <w:lvlText w:val=""/>
      <w:lvlJc w:val="left"/>
      <w:pPr>
        <w:ind w:left="720" w:hanging="360"/>
      </w:pPr>
      <w:rPr>
        <w:rFonts w:ascii="Wingdings" w:hAnsi="Wingdings"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7ED11DD"/>
    <w:multiLevelType w:val="multilevel"/>
    <w:tmpl w:val="231071B8"/>
    <w:lvl w:ilvl="0">
      <w:start w:val="1"/>
      <w:numFmt w:val="decimal"/>
      <w:pStyle w:val="MonTitre2"/>
      <w:lvlText w:val="%1."/>
      <w:lvlJc w:val="left"/>
      <w:pPr>
        <w:ind w:left="360" w:hanging="360"/>
      </w:pPr>
      <w:rPr>
        <w:rFonts w:hint="default"/>
        <w:sz w:val="24"/>
        <w:szCs w:val="24"/>
      </w:rPr>
    </w:lvl>
    <w:lvl w:ilvl="1">
      <w:start w:val="1"/>
      <w:numFmt w:val="decimal"/>
      <w:pStyle w:val="MonTitre3"/>
      <w:isLgl/>
      <w:lvlText w:val="%1.%2."/>
      <w:lvlJc w:val="left"/>
      <w:pPr>
        <w:ind w:left="1080" w:hanging="720"/>
      </w:pPr>
      <w:rPr>
        <w:rFonts w:hint="default"/>
      </w:rPr>
    </w:lvl>
    <w:lvl w:ilvl="2">
      <w:start w:val="1"/>
      <w:numFmt w:val="decimal"/>
      <w:isLgl/>
      <w:lvlText w:val="%1.%2.%3."/>
      <w:lvlJc w:val="left"/>
      <w:pPr>
        <w:ind w:left="1931" w:hanging="1080"/>
      </w:pPr>
      <w:rPr>
        <w:rFonts w:hint="default"/>
        <w:b/>
        <w:bCs/>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2">
    <w:nsid w:val="56843DAA"/>
    <w:multiLevelType w:val="hybridMultilevel"/>
    <w:tmpl w:val="DC0403CC"/>
    <w:lvl w:ilvl="0" w:tplc="BF1AC892">
      <w:start w:val="1"/>
      <w:numFmt w:val="bullet"/>
      <w:lvlText w:val=""/>
      <w:lvlJc w:val="left"/>
      <w:pPr>
        <w:tabs>
          <w:tab w:val="num" w:pos="720"/>
        </w:tabs>
        <w:ind w:left="720" w:hanging="360"/>
      </w:pPr>
      <w:rPr>
        <w:rFonts w:ascii="Wingdings" w:hAnsi="Wingdings" w:hint="default"/>
        <w:b/>
        <w:i/>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F7B48AD"/>
    <w:multiLevelType w:val="hybridMultilevel"/>
    <w:tmpl w:val="8782F8EE"/>
    <w:lvl w:ilvl="0" w:tplc="4B1AB198">
      <w:start w:val="1"/>
      <w:numFmt w:val="bullet"/>
      <w:lvlText w:val=""/>
      <w:lvlJc w:val="left"/>
      <w:pPr>
        <w:tabs>
          <w:tab w:val="num" w:pos="720"/>
        </w:tabs>
        <w:ind w:left="720" w:hanging="360"/>
      </w:pPr>
      <w:rPr>
        <w:rFonts w:ascii="Wingdings" w:hAnsi="Wingdings" w:hint="default"/>
        <w:b/>
        <w:i/>
        <w:sz w:val="12"/>
      </w:rPr>
    </w:lvl>
    <w:lvl w:ilvl="1" w:tplc="61A0BFF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66F22B27"/>
    <w:multiLevelType w:val="hybridMultilevel"/>
    <w:tmpl w:val="960238DC"/>
    <w:lvl w:ilvl="0" w:tplc="F634F286">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5">
    <w:nsid w:val="694E1C36"/>
    <w:multiLevelType w:val="hybridMultilevel"/>
    <w:tmpl w:val="05F2611C"/>
    <w:lvl w:ilvl="0" w:tplc="040C000F">
      <w:start w:val="1"/>
      <w:numFmt w:val="decimal"/>
      <w:lvlText w:val="%1."/>
      <w:lvlJc w:val="left"/>
      <w:pPr>
        <w:ind w:left="1584" w:hanging="360"/>
      </w:pPr>
    </w:lvl>
    <w:lvl w:ilvl="1" w:tplc="040C0019" w:tentative="1">
      <w:start w:val="1"/>
      <w:numFmt w:val="lowerLetter"/>
      <w:lvlText w:val="%2."/>
      <w:lvlJc w:val="left"/>
      <w:pPr>
        <w:ind w:left="2304" w:hanging="360"/>
      </w:pPr>
    </w:lvl>
    <w:lvl w:ilvl="2" w:tplc="040C001B" w:tentative="1">
      <w:start w:val="1"/>
      <w:numFmt w:val="lowerRoman"/>
      <w:lvlText w:val="%3."/>
      <w:lvlJc w:val="right"/>
      <w:pPr>
        <w:ind w:left="3024" w:hanging="180"/>
      </w:pPr>
    </w:lvl>
    <w:lvl w:ilvl="3" w:tplc="040C000F" w:tentative="1">
      <w:start w:val="1"/>
      <w:numFmt w:val="decimal"/>
      <w:lvlText w:val="%4."/>
      <w:lvlJc w:val="left"/>
      <w:pPr>
        <w:ind w:left="3744" w:hanging="360"/>
      </w:pPr>
    </w:lvl>
    <w:lvl w:ilvl="4" w:tplc="040C0019" w:tentative="1">
      <w:start w:val="1"/>
      <w:numFmt w:val="lowerLetter"/>
      <w:lvlText w:val="%5."/>
      <w:lvlJc w:val="left"/>
      <w:pPr>
        <w:ind w:left="4464" w:hanging="360"/>
      </w:pPr>
    </w:lvl>
    <w:lvl w:ilvl="5" w:tplc="040C001B" w:tentative="1">
      <w:start w:val="1"/>
      <w:numFmt w:val="lowerRoman"/>
      <w:lvlText w:val="%6."/>
      <w:lvlJc w:val="right"/>
      <w:pPr>
        <w:ind w:left="5184" w:hanging="180"/>
      </w:pPr>
    </w:lvl>
    <w:lvl w:ilvl="6" w:tplc="040C000F" w:tentative="1">
      <w:start w:val="1"/>
      <w:numFmt w:val="decimal"/>
      <w:lvlText w:val="%7."/>
      <w:lvlJc w:val="left"/>
      <w:pPr>
        <w:ind w:left="5904" w:hanging="360"/>
      </w:pPr>
    </w:lvl>
    <w:lvl w:ilvl="7" w:tplc="040C0019" w:tentative="1">
      <w:start w:val="1"/>
      <w:numFmt w:val="lowerLetter"/>
      <w:lvlText w:val="%8."/>
      <w:lvlJc w:val="left"/>
      <w:pPr>
        <w:ind w:left="6624" w:hanging="360"/>
      </w:pPr>
    </w:lvl>
    <w:lvl w:ilvl="8" w:tplc="040C001B" w:tentative="1">
      <w:start w:val="1"/>
      <w:numFmt w:val="lowerRoman"/>
      <w:lvlText w:val="%9."/>
      <w:lvlJc w:val="right"/>
      <w:pPr>
        <w:ind w:left="7344" w:hanging="180"/>
      </w:pPr>
    </w:lvl>
  </w:abstractNum>
  <w:num w:numId="1">
    <w:abstractNumId w:val="11"/>
  </w:num>
  <w:num w:numId="2">
    <w:abstractNumId w:val="11"/>
  </w:num>
  <w:num w:numId="3">
    <w:abstractNumId w:val="7"/>
  </w:num>
  <w:num w:numId="4">
    <w:abstractNumId w:val="15"/>
  </w:num>
  <w:num w:numId="5">
    <w:abstractNumId w:val="2"/>
  </w:num>
  <w:num w:numId="6">
    <w:abstractNumId w:val="6"/>
  </w:num>
  <w:num w:numId="7">
    <w:abstractNumId w:val="4"/>
  </w:num>
  <w:num w:numId="8">
    <w:abstractNumId w:val="10"/>
  </w:num>
  <w:num w:numId="9">
    <w:abstractNumId w:val="14"/>
  </w:num>
  <w:num w:numId="10">
    <w:abstractNumId w:val="1"/>
  </w:num>
  <w:num w:numId="11">
    <w:abstractNumId w:val="8"/>
  </w:num>
  <w:num w:numId="12">
    <w:abstractNumId w:val="0"/>
  </w:num>
  <w:num w:numId="13">
    <w:abstractNumId w:val="9"/>
  </w:num>
  <w:num w:numId="14">
    <w:abstractNumId w:val="5"/>
  </w:num>
  <w:num w:numId="15">
    <w:abstractNumId w:val="3"/>
  </w:num>
  <w:num w:numId="16">
    <w:abstractNumId w:val="13"/>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CA6FD2"/>
    <w:rsid w:val="00020715"/>
    <w:rsid w:val="0005259D"/>
    <w:rsid w:val="000737F2"/>
    <w:rsid w:val="000F4158"/>
    <w:rsid w:val="0012018C"/>
    <w:rsid w:val="001355D0"/>
    <w:rsid w:val="00162E24"/>
    <w:rsid w:val="001F1488"/>
    <w:rsid w:val="002836A4"/>
    <w:rsid w:val="002A5823"/>
    <w:rsid w:val="002B7674"/>
    <w:rsid w:val="0031151C"/>
    <w:rsid w:val="00317D00"/>
    <w:rsid w:val="003B2AC6"/>
    <w:rsid w:val="00423C3D"/>
    <w:rsid w:val="004367FB"/>
    <w:rsid w:val="00441742"/>
    <w:rsid w:val="004D5D70"/>
    <w:rsid w:val="00503C25"/>
    <w:rsid w:val="005F0589"/>
    <w:rsid w:val="0061026A"/>
    <w:rsid w:val="0067584C"/>
    <w:rsid w:val="00682BF7"/>
    <w:rsid w:val="006B3550"/>
    <w:rsid w:val="006C4F16"/>
    <w:rsid w:val="006E4AC0"/>
    <w:rsid w:val="00720EE3"/>
    <w:rsid w:val="00741BF5"/>
    <w:rsid w:val="00760193"/>
    <w:rsid w:val="007729AE"/>
    <w:rsid w:val="0078362C"/>
    <w:rsid w:val="00790174"/>
    <w:rsid w:val="008451FF"/>
    <w:rsid w:val="00853952"/>
    <w:rsid w:val="009225F7"/>
    <w:rsid w:val="00953361"/>
    <w:rsid w:val="00964BE0"/>
    <w:rsid w:val="00992408"/>
    <w:rsid w:val="009D5099"/>
    <w:rsid w:val="00A32026"/>
    <w:rsid w:val="00A34E2C"/>
    <w:rsid w:val="00AC45D3"/>
    <w:rsid w:val="00AC7A10"/>
    <w:rsid w:val="00B547C5"/>
    <w:rsid w:val="00B82AA5"/>
    <w:rsid w:val="00BE1FC1"/>
    <w:rsid w:val="00C227AD"/>
    <w:rsid w:val="00C7015A"/>
    <w:rsid w:val="00C878AE"/>
    <w:rsid w:val="00CA6FD2"/>
    <w:rsid w:val="00CB548F"/>
    <w:rsid w:val="00D54E9C"/>
    <w:rsid w:val="00D74B93"/>
    <w:rsid w:val="00DC4799"/>
    <w:rsid w:val="00E37FC4"/>
    <w:rsid w:val="00E65FB9"/>
    <w:rsid w:val="00E66A43"/>
    <w:rsid w:val="00EA109D"/>
    <w:rsid w:val="00EB1319"/>
    <w:rsid w:val="00EF5CA1"/>
    <w:rsid w:val="00F1266C"/>
    <w:rsid w:val="00F2164E"/>
    <w:rsid w:val="00F552FB"/>
    <w:rsid w:val="00F90F1F"/>
    <w:rsid w:val="00FA0AC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9AE"/>
    <w:pPr>
      <w:spacing w:after="200" w:line="276" w:lineRule="auto"/>
    </w:pPr>
    <w:rPr>
      <w:sz w:val="22"/>
      <w:szCs w:val="22"/>
      <w:lang w:eastAsia="en-US"/>
    </w:rPr>
  </w:style>
  <w:style w:type="paragraph" w:styleId="Titre1">
    <w:name w:val="heading 1"/>
    <w:basedOn w:val="Normal"/>
    <w:next w:val="Normal"/>
    <w:link w:val="Titre1Car"/>
    <w:uiPriority w:val="9"/>
    <w:qFormat/>
    <w:rsid w:val="007729A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fr-FR"/>
    </w:rPr>
  </w:style>
  <w:style w:type="paragraph" w:styleId="Titre2">
    <w:name w:val="heading 2"/>
    <w:basedOn w:val="Normal"/>
    <w:next w:val="Normal"/>
    <w:link w:val="Titre2Car"/>
    <w:unhideWhenUsed/>
    <w:qFormat/>
    <w:rsid w:val="007729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7729AE"/>
    <w:pPr>
      <w:keepNext/>
      <w:keepLines/>
      <w:spacing w:before="200" w:after="0"/>
      <w:outlineLvl w:val="2"/>
    </w:pPr>
    <w:rPr>
      <w:rFonts w:asciiTheme="majorHAnsi" w:eastAsiaTheme="majorEastAsia" w:hAnsiTheme="majorHAnsi" w:cstheme="majorBidi"/>
      <w:b/>
      <w:bCs/>
      <w:color w:val="4F81BD" w:themeColor="accent1"/>
      <w:lang w:eastAsia="fr-FR"/>
    </w:rPr>
  </w:style>
  <w:style w:type="paragraph" w:styleId="Titre4">
    <w:name w:val="heading 4"/>
    <w:basedOn w:val="Normal"/>
    <w:next w:val="Normal"/>
    <w:link w:val="Titre4Car"/>
    <w:qFormat/>
    <w:rsid w:val="007729AE"/>
    <w:pPr>
      <w:keepNext/>
      <w:spacing w:after="0" w:line="240" w:lineRule="auto"/>
      <w:ind w:left="1134"/>
      <w:outlineLvl w:val="3"/>
    </w:pPr>
    <w:rPr>
      <w:rFonts w:ascii="Times New Roman" w:eastAsia="Times New Roman" w:hAnsi="Times New Roman" w:cs="Times New Roman"/>
      <w:b/>
      <w:bCs/>
      <w:i/>
      <w:iCs/>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29AE"/>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7729AE"/>
    <w:rPr>
      <w:rFonts w:asciiTheme="majorHAnsi" w:eastAsiaTheme="majorEastAsia" w:hAnsiTheme="majorHAnsi" w:cstheme="majorBidi"/>
      <w:b/>
      <w:bCs/>
      <w:color w:val="4F81BD" w:themeColor="accent1"/>
      <w:sz w:val="26"/>
      <w:szCs w:val="26"/>
      <w:lang w:eastAsia="en-US"/>
    </w:rPr>
  </w:style>
  <w:style w:type="character" w:customStyle="1" w:styleId="Titre3Car">
    <w:name w:val="Titre 3 Car"/>
    <w:basedOn w:val="Policepardfaut"/>
    <w:link w:val="Titre3"/>
    <w:rsid w:val="007729AE"/>
    <w:rPr>
      <w:rFonts w:asciiTheme="majorHAnsi" w:eastAsiaTheme="majorEastAsia" w:hAnsiTheme="majorHAnsi" w:cstheme="majorBidi"/>
      <w:b/>
      <w:bCs/>
      <w:color w:val="4F81BD" w:themeColor="accent1"/>
      <w:sz w:val="22"/>
      <w:szCs w:val="22"/>
    </w:rPr>
  </w:style>
  <w:style w:type="character" w:customStyle="1" w:styleId="Titre4Car">
    <w:name w:val="Titre 4 Car"/>
    <w:basedOn w:val="Policepardfaut"/>
    <w:link w:val="Titre4"/>
    <w:rsid w:val="007729AE"/>
    <w:rPr>
      <w:rFonts w:ascii="Times New Roman" w:eastAsia="Times New Roman" w:hAnsi="Times New Roman" w:cs="Times New Roman"/>
      <w:b/>
      <w:bCs/>
      <w:i/>
      <w:iCs/>
      <w:sz w:val="22"/>
    </w:rPr>
  </w:style>
  <w:style w:type="paragraph" w:styleId="Lgende">
    <w:name w:val="caption"/>
    <w:basedOn w:val="Normal"/>
    <w:next w:val="Normal"/>
    <w:uiPriority w:val="35"/>
    <w:unhideWhenUsed/>
    <w:qFormat/>
    <w:rsid w:val="007729AE"/>
    <w:pPr>
      <w:spacing w:line="240" w:lineRule="auto"/>
    </w:pPr>
    <w:rPr>
      <w:b/>
      <w:bCs/>
      <w:color w:val="4F81BD"/>
      <w:sz w:val="18"/>
      <w:szCs w:val="18"/>
    </w:rPr>
  </w:style>
  <w:style w:type="paragraph" w:styleId="Titre">
    <w:name w:val="Title"/>
    <w:basedOn w:val="Normal"/>
    <w:next w:val="Normal"/>
    <w:link w:val="TitreCar"/>
    <w:uiPriority w:val="10"/>
    <w:qFormat/>
    <w:rsid w:val="007729A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fr-FR"/>
    </w:rPr>
  </w:style>
  <w:style w:type="character" w:customStyle="1" w:styleId="TitreCar">
    <w:name w:val="Titre Car"/>
    <w:basedOn w:val="Policepardfaut"/>
    <w:link w:val="Titre"/>
    <w:uiPriority w:val="10"/>
    <w:rsid w:val="007729AE"/>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link w:val="ParagraphedelisteCar"/>
    <w:uiPriority w:val="34"/>
    <w:qFormat/>
    <w:rsid w:val="007729AE"/>
    <w:pPr>
      <w:spacing w:after="0" w:line="400" w:lineRule="exact"/>
      <w:ind w:left="720"/>
      <w:contextualSpacing/>
    </w:pPr>
    <w:rPr>
      <w:rFonts w:ascii="Comic Sans MS" w:hAnsi="Comic Sans MS"/>
    </w:rPr>
  </w:style>
  <w:style w:type="character" w:customStyle="1" w:styleId="ParagraphedelisteCar">
    <w:name w:val="Paragraphe de liste Car"/>
    <w:basedOn w:val="Policepardfaut"/>
    <w:link w:val="Paragraphedeliste"/>
    <w:uiPriority w:val="34"/>
    <w:rsid w:val="007729AE"/>
    <w:rPr>
      <w:rFonts w:ascii="Comic Sans MS" w:hAnsi="Comic Sans MS"/>
      <w:sz w:val="22"/>
      <w:szCs w:val="22"/>
      <w:lang w:eastAsia="en-US"/>
    </w:rPr>
  </w:style>
  <w:style w:type="paragraph" w:customStyle="1" w:styleId="MonTitre2">
    <w:name w:val="Mon Titre2"/>
    <w:basedOn w:val="Titre2"/>
    <w:qFormat/>
    <w:rsid w:val="007729AE"/>
    <w:pPr>
      <w:numPr>
        <w:numId w:val="2"/>
      </w:numPr>
      <w:spacing w:before="360" w:after="240" w:line="400" w:lineRule="exact"/>
    </w:pPr>
    <w:rPr>
      <w:rFonts w:ascii="Comic Sans MS" w:eastAsia="Times New Roman" w:hAnsi="Comic Sans MS" w:cs="Times New Roman"/>
      <w:color w:val="auto"/>
      <w:sz w:val="22"/>
      <w:szCs w:val="22"/>
    </w:rPr>
  </w:style>
  <w:style w:type="paragraph" w:customStyle="1" w:styleId="MonTitre3">
    <w:name w:val="Mon Titre3"/>
    <w:basedOn w:val="Paragraphedeliste"/>
    <w:link w:val="MonTitre3Car"/>
    <w:qFormat/>
    <w:rsid w:val="007729AE"/>
    <w:pPr>
      <w:numPr>
        <w:ilvl w:val="1"/>
        <w:numId w:val="2"/>
      </w:numPr>
      <w:spacing w:before="240" w:after="240"/>
    </w:pPr>
    <w:rPr>
      <w:b/>
      <w:bCs/>
    </w:rPr>
  </w:style>
  <w:style w:type="character" w:customStyle="1" w:styleId="MonTitre3Car">
    <w:name w:val="Mon Titre3 Car"/>
    <w:basedOn w:val="ParagraphedelisteCar"/>
    <w:link w:val="MonTitre3"/>
    <w:rsid w:val="007729AE"/>
    <w:rPr>
      <w:b/>
      <w:bCs/>
    </w:rPr>
  </w:style>
  <w:style w:type="paragraph" w:customStyle="1" w:styleId="MaNotedebasdepage">
    <w:name w:val="Ma Note de bas de page"/>
    <w:basedOn w:val="Normal"/>
    <w:link w:val="MaNotedebasdepageCar"/>
    <w:qFormat/>
    <w:rsid w:val="001F1488"/>
    <w:pPr>
      <w:spacing w:after="0" w:line="360" w:lineRule="exact"/>
    </w:pPr>
    <w:rPr>
      <w:szCs w:val="20"/>
    </w:rPr>
  </w:style>
  <w:style w:type="paragraph" w:styleId="Notedebasdepage">
    <w:name w:val="footnote text"/>
    <w:next w:val="MaNotedebasdepage"/>
    <w:link w:val="NotedebasdepageCar"/>
    <w:uiPriority w:val="99"/>
    <w:semiHidden/>
    <w:unhideWhenUsed/>
    <w:rsid w:val="007729AE"/>
  </w:style>
  <w:style w:type="character" w:customStyle="1" w:styleId="NotedebasdepageCar">
    <w:name w:val="Note de bas de page Car"/>
    <w:basedOn w:val="Policepardfaut"/>
    <w:link w:val="Notedebasdepage"/>
    <w:uiPriority w:val="99"/>
    <w:semiHidden/>
    <w:rsid w:val="007729AE"/>
    <w:rPr>
      <w:lang w:eastAsia="en-US"/>
    </w:rPr>
  </w:style>
  <w:style w:type="character" w:customStyle="1" w:styleId="MaNotedebasdepageCar">
    <w:name w:val="Ma Note de bas de page Car"/>
    <w:basedOn w:val="NotedebasdepageCar"/>
    <w:link w:val="MaNotedebasdepage"/>
    <w:rsid w:val="001F1488"/>
    <w:rPr>
      <w:sz w:val="22"/>
    </w:rPr>
  </w:style>
  <w:style w:type="paragraph" w:customStyle="1" w:styleId="SPCalibri">
    <w:name w:val="SP Calibri"/>
    <w:basedOn w:val="Normal"/>
    <w:qFormat/>
    <w:rsid w:val="007729AE"/>
    <w:pPr>
      <w:tabs>
        <w:tab w:val="left" w:pos="-720"/>
      </w:tabs>
      <w:overflowPunct w:val="0"/>
      <w:autoSpaceDE w:val="0"/>
      <w:autoSpaceDN w:val="0"/>
      <w:adjustRightInd w:val="0"/>
      <w:spacing w:before="180" w:after="0" w:line="320" w:lineRule="atLeast"/>
      <w:textAlignment w:val="baseline"/>
    </w:pPr>
    <w:rPr>
      <w:rFonts w:eastAsia="Times New Roman" w:cs="Times New Roman"/>
      <w:szCs w:val="28"/>
      <w:lang w:eastAsia="fr-FR"/>
    </w:rPr>
  </w:style>
  <w:style w:type="paragraph" w:customStyle="1" w:styleId="Styleprincipal">
    <w:name w:val="Style principal"/>
    <w:basedOn w:val="Normal"/>
    <w:qFormat/>
    <w:rsid w:val="007729AE"/>
    <w:pPr>
      <w:tabs>
        <w:tab w:val="left" w:pos="-720"/>
      </w:tabs>
      <w:spacing w:before="180" w:after="0" w:line="320" w:lineRule="atLeast"/>
    </w:pPr>
    <w:rPr>
      <w:rFonts w:eastAsia="Times New Roman"/>
      <w:szCs w:val="24"/>
      <w:lang w:eastAsia="fr-FR"/>
    </w:rPr>
  </w:style>
  <w:style w:type="paragraph" w:styleId="En-tte">
    <w:name w:val="header"/>
    <w:basedOn w:val="Normal"/>
    <w:link w:val="En-tteCar"/>
    <w:uiPriority w:val="99"/>
    <w:semiHidden/>
    <w:unhideWhenUsed/>
    <w:rsid w:val="00CA6FD2"/>
    <w:pPr>
      <w:tabs>
        <w:tab w:val="center" w:pos="4536"/>
        <w:tab w:val="right" w:pos="9072"/>
      </w:tabs>
      <w:spacing w:before="0" w:after="0" w:line="240" w:lineRule="auto"/>
    </w:pPr>
  </w:style>
  <w:style w:type="character" w:customStyle="1" w:styleId="En-tteCar">
    <w:name w:val="En-tête Car"/>
    <w:basedOn w:val="Policepardfaut"/>
    <w:link w:val="En-tte"/>
    <w:uiPriority w:val="99"/>
    <w:semiHidden/>
    <w:rsid w:val="00CA6FD2"/>
    <w:rPr>
      <w:sz w:val="22"/>
      <w:szCs w:val="22"/>
      <w:lang w:eastAsia="en-US"/>
    </w:rPr>
  </w:style>
  <w:style w:type="paragraph" w:styleId="Pieddepage">
    <w:name w:val="footer"/>
    <w:basedOn w:val="Normal"/>
    <w:link w:val="PieddepageCar"/>
    <w:uiPriority w:val="99"/>
    <w:unhideWhenUsed/>
    <w:rsid w:val="00CA6FD2"/>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CA6FD2"/>
    <w:rPr>
      <w:sz w:val="22"/>
      <w:szCs w:val="22"/>
      <w:lang w:eastAsia="en-US"/>
    </w:rPr>
  </w:style>
  <w:style w:type="character" w:styleId="Appelnotedebasdep">
    <w:name w:val="footnote reference"/>
    <w:basedOn w:val="Policepardfaut"/>
    <w:semiHidden/>
    <w:rsid w:val="00CA6FD2"/>
    <w:rPr>
      <w:rFonts w:ascii="Times New Roman" w:hAnsi="Times New Roman" w:cs="Times New Roman"/>
      <w:sz w:val="24"/>
      <w:szCs w:val="24"/>
      <w:vertAlign w:val="superscript"/>
    </w:rPr>
  </w:style>
  <w:style w:type="character" w:styleId="Numrodepage">
    <w:name w:val="page number"/>
    <w:basedOn w:val="Policepardfaut"/>
    <w:rsid w:val="00CA6FD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4565</Words>
  <Characters>25110</Characters>
  <Application>Microsoft Office Word</Application>
  <DocSecurity>0</DocSecurity>
  <Lines>209</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cp:lastPrinted>2012-12-04T09:26:00Z</cp:lastPrinted>
  <dcterms:created xsi:type="dcterms:W3CDTF">2012-12-04T09:20:00Z</dcterms:created>
  <dcterms:modified xsi:type="dcterms:W3CDTF">2012-12-04T09:30:00Z</dcterms:modified>
</cp:coreProperties>
</file>